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E8D10" w14:textId="77777777" w:rsidR="004F7EFE" w:rsidRDefault="009534FA">
      <w:pPr>
        <w:pStyle w:val="BodyText0"/>
        <w:spacing w:line="240" w:lineRule="auto"/>
        <w:jc w:val="center"/>
        <w:rPr>
          <w:b/>
          <w:szCs w:val="26"/>
        </w:rPr>
      </w:pPr>
      <w:r>
        <w:rPr>
          <w:b/>
          <w:szCs w:val="26"/>
        </w:rPr>
        <w:t>MEMORANDUM OF AGREEMENT</w:t>
      </w:r>
      <w:r>
        <w:rPr>
          <w:b/>
          <w:szCs w:val="26"/>
        </w:rPr>
        <w:br/>
        <w:t xml:space="preserve">BETWEEN THE SOMERS CENTRAL SCHOOL DISTRICT </w:t>
      </w:r>
      <w:r>
        <w:rPr>
          <w:b/>
          <w:szCs w:val="26"/>
        </w:rPr>
        <w:br/>
        <w:t>AND THE SOMERS FACULTY ASSOCIATION</w:t>
      </w:r>
      <w:r>
        <w:rPr>
          <w:b/>
          <w:szCs w:val="26"/>
        </w:rPr>
        <w:br/>
      </w:r>
    </w:p>
    <w:p w14:paraId="7FA69F9C" w14:textId="45B4225A" w:rsidR="004F7EFE" w:rsidRDefault="009534FA">
      <w:pPr>
        <w:pStyle w:val="BodyText0"/>
        <w:spacing w:before="240"/>
        <w:ind w:firstLine="720"/>
        <w:rPr>
          <w:szCs w:val="26"/>
        </w:rPr>
      </w:pPr>
      <w:r>
        <w:rPr>
          <w:b/>
          <w:szCs w:val="26"/>
        </w:rPr>
        <w:t xml:space="preserve">WHEREAS, </w:t>
      </w:r>
      <w:r>
        <w:rPr>
          <w:szCs w:val="26"/>
        </w:rPr>
        <w:t>the Somers Faculty Association (hereinafter the “Association”) and the Somers Central</w:t>
      </w:r>
      <w:r>
        <w:rPr>
          <w:szCs w:val="26"/>
        </w:rPr>
        <w:t xml:space="preserve"> School District (hereinafter the “District”) are parties to a Collective Bargaining Agreement between them which expires on June 30, 2021; and</w:t>
      </w:r>
    </w:p>
    <w:p w14:paraId="36462D17" w14:textId="77777777" w:rsidR="004F7EFE" w:rsidRDefault="009534FA">
      <w:pPr>
        <w:pStyle w:val="BodyText5"/>
        <w:rPr>
          <w:szCs w:val="26"/>
        </w:rPr>
      </w:pPr>
      <w:r>
        <w:rPr>
          <w:b/>
          <w:szCs w:val="26"/>
        </w:rPr>
        <w:t xml:space="preserve">WHEREAS, </w:t>
      </w:r>
      <w:r>
        <w:rPr>
          <w:szCs w:val="26"/>
        </w:rPr>
        <w:t>the parties have tentatively resolved the terms and conditions of a successor agreement, the contents o</w:t>
      </w:r>
      <w:r>
        <w:rPr>
          <w:szCs w:val="26"/>
        </w:rPr>
        <w:t xml:space="preserve">f which are contained in this Memorandum of Agreement, which is subject to ratification by the membership of the Association as well as the Board of Education of the District; </w:t>
      </w:r>
    </w:p>
    <w:p w14:paraId="3D3CAA4A" w14:textId="03F64C83" w:rsidR="004F7EFE" w:rsidRDefault="009534FA">
      <w:pPr>
        <w:pStyle w:val="BodyText5"/>
        <w:rPr>
          <w:szCs w:val="26"/>
        </w:rPr>
      </w:pPr>
      <w:r>
        <w:rPr>
          <w:b/>
          <w:szCs w:val="26"/>
        </w:rPr>
        <w:t>NOW, THEREFORE, IT IS HEREBY AGREED</w:t>
      </w:r>
      <w:r>
        <w:rPr>
          <w:szCs w:val="26"/>
        </w:rPr>
        <w:t xml:space="preserve"> by and between the parties that the followi</w:t>
      </w:r>
      <w:r>
        <w:rPr>
          <w:szCs w:val="26"/>
        </w:rPr>
        <w:t>ng shall constitute the terms and conditions of a successor collective bargaining agreement to the 2020-2021 Agreement, subject to the ratification process referenced above:</w:t>
      </w:r>
    </w:p>
    <w:p w14:paraId="5B5DB80A" w14:textId="163C5272" w:rsidR="004F7EFE" w:rsidRDefault="009534FA">
      <w:pPr>
        <w:pStyle w:val="BodyText5"/>
        <w:numPr>
          <w:ilvl w:val="0"/>
          <w:numId w:val="9"/>
        </w:numPr>
        <w:rPr>
          <w:szCs w:val="26"/>
        </w:rPr>
      </w:pPr>
      <w:r>
        <w:rPr>
          <w:b/>
          <w:szCs w:val="26"/>
        </w:rPr>
        <w:t>Duration of Agreement</w:t>
      </w:r>
      <w:r>
        <w:rPr>
          <w:szCs w:val="26"/>
        </w:rPr>
        <w:t>: July 1, 2021 through June 30, 2026 (5 years)</w:t>
      </w:r>
    </w:p>
    <w:p w14:paraId="25AA4F71" w14:textId="77777777" w:rsidR="004F7EFE" w:rsidRDefault="009534FA">
      <w:pPr>
        <w:pStyle w:val="BodyText5"/>
        <w:numPr>
          <w:ilvl w:val="0"/>
          <w:numId w:val="9"/>
        </w:numPr>
        <w:rPr>
          <w:szCs w:val="26"/>
        </w:rPr>
      </w:pPr>
      <w:r>
        <w:rPr>
          <w:b/>
          <w:szCs w:val="26"/>
        </w:rPr>
        <w:t>Salary</w:t>
      </w:r>
      <w:r>
        <w:rPr>
          <w:szCs w:val="26"/>
        </w:rPr>
        <w:t xml:space="preserve">: </w:t>
      </w:r>
    </w:p>
    <w:p w14:paraId="11B67B85" w14:textId="49727C9D" w:rsidR="004F7EFE" w:rsidRDefault="009534FA">
      <w:pPr>
        <w:pStyle w:val="BodyText5"/>
        <w:numPr>
          <w:ilvl w:val="1"/>
          <w:numId w:val="9"/>
        </w:numPr>
        <w:rPr>
          <w:szCs w:val="26"/>
        </w:rPr>
      </w:pPr>
      <w:r>
        <w:rPr>
          <w:szCs w:val="26"/>
        </w:rPr>
        <w:t>Effec</w:t>
      </w:r>
      <w:r>
        <w:rPr>
          <w:szCs w:val="26"/>
        </w:rPr>
        <w:t xml:space="preserve">tive July 1, 2021: The 2021- 2022 salary schedule shall reflect a zero point two five (0.25%) percent increase over the prior year. </w:t>
      </w:r>
      <w:r>
        <w:t xml:space="preserve">A new Step 21 shall be added to the </w:t>
      </w:r>
      <w:r>
        <w:rPr>
          <w:szCs w:val="26"/>
        </w:rPr>
        <w:t xml:space="preserve">2021- 2022 </w:t>
      </w:r>
      <w:r>
        <w:t>salary schedule. The Step 21 salaries shall reflect a one point nine (1.9%) p</w:t>
      </w:r>
      <w:r>
        <w:t xml:space="preserve">ercent increase over the Step 20 salaries, as increased by the aforementioned zero point two </w:t>
      </w:r>
      <w:r>
        <w:rPr>
          <w:szCs w:val="26"/>
        </w:rPr>
        <w:t>five (0.25%)</w:t>
      </w:r>
      <w:r>
        <w:t xml:space="preserve"> percent. After step movement has been applied for eligible bargaining unit members, </w:t>
      </w:r>
      <w:r>
        <w:rPr>
          <w:szCs w:val="26"/>
        </w:rPr>
        <w:t>Step 1 shall be removed from each lane of the 2020- 2021 salary sc</w:t>
      </w:r>
      <w:r>
        <w:rPr>
          <w:szCs w:val="26"/>
        </w:rPr>
        <w:t xml:space="preserve">hedule and the remaining steps shall be renumbered to reflect a new 20 Step salary schedule (i.e., a bargaining unit member </w:t>
      </w:r>
      <w:r>
        <w:rPr>
          <w:szCs w:val="26"/>
        </w:rPr>
        <w:lastRenderedPageBreak/>
        <w:t>who had moved from Step 2 to Step 3 on the 21 Step salary schedule shall now be on Step 2 of the new 20 Step salary schedule).</w:t>
      </w:r>
    </w:p>
    <w:p w14:paraId="20AD4C26" w14:textId="4367C9DE" w:rsidR="004F7EFE" w:rsidRDefault="009534FA">
      <w:pPr>
        <w:pStyle w:val="BodyText5"/>
        <w:numPr>
          <w:ilvl w:val="1"/>
          <w:numId w:val="9"/>
        </w:numPr>
        <w:rPr>
          <w:szCs w:val="26"/>
        </w:rPr>
      </w:pPr>
      <w:r>
        <w:rPr>
          <w:szCs w:val="26"/>
        </w:rPr>
        <w:t>Effec</w:t>
      </w:r>
      <w:r>
        <w:rPr>
          <w:szCs w:val="26"/>
        </w:rPr>
        <w:t xml:space="preserve">tive July 1, 2022: The 2022- 2023 salary schedule shall reflect a zero point two five (0.25%) percent increase over the prior year. </w:t>
      </w:r>
      <w:r>
        <w:t xml:space="preserve">A new Step 21 shall be added to the </w:t>
      </w:r>
      <w:r>
        <w:rPr>
          <w:szCs w:val="26"/>
        </w:rPr>
        <w:t xml:space="preserve">2022- 2023 </w:t>
      </w:r>
      <w:r>
        <w:t>salary schedule. The Step 21 salaries shall reflect a one point nine (1.9%) p</w:t>
      </w:r>
      <w:r>
        <w:t xml:space="preserve">ercent increase over the Step 20 salaries, as increased by the aforementioned zero point two </w:t>
      </w:r>
      <w:r>
        <w:rPr>
          <w:szCs w:val="26"/>
        </w:rPr>
        <w:t>five (0.25%)</w:t>
      </w:r>
      <w:r>
        <w:t xml:space="preserve"> percent.</w:t>
      </w:r>
    </w:p>
    <w:p w14:paraId="334F1570" w14:textId="4B315E76" w:rsidR="004F7EFE" w:rsidRDefault="009534FA">
      <w:pPr>
        <w:pStyle w:val="BodyText5"/>
        <w:numPr>
          <w:ilvl w:val="1"/>
          <w:numId w:val="9"/>
        </w:numPr>
        <w:rPr>
          <w:szCs w:val="26"/>
        </w:rPr>
      </w:pPr>
      <w:r>
        <w:rPr>
          <w:szCs w:val="26"/>
        </w:rPr>
        <w:t>Effective July 1, 2023: The 2023- 2024 salary schedule shall reflect a one point four (1.4%) percent increase over the prior year.</w:t>
      </w:r>
    </w:p>
    <w:p w14:paraId="7BF63609" w14:textId="36385883" w:rsidR="004F7EFE" w:rsidRDefault="009534FA">
      <w:pPr>
        <w:pStyle w:val="BodyText5"/>
        <w:numPr>
          <w:ilvl w:val="1"/>
          <w:numId w:val="9"/>
        </w:numPr>
        <w:rPr>
          <w:szCs w:val="26"/>
        </w:rPr>
      </w:pPr>
      <w:r>
        <w:rPr>
          <w:szCs w:val="26"/>
        </w:rPr>
        <w:t xml:space="preserve">Effective </w:t>
      </w:r>
      <w:r>
        <w:rPr>
          <w:szCs w:val="26"/>
        </w:rPr>
        <w:t xml:space="preserve">July 1, 2024: The 2024- 2025 salary schedule shall reflect a </w:t>
      </w:r>
      <w:proofErr w:type="gramStart"/>
      <w:r>
        <w:rPr>
          <w:szCs w:val="26"/>
        </w:rPr>
        <w:t>zero point</w:t>
      </w:r>
      <w:proofErr w:type="gramEnd"/>
      <w:r>
        <w:rPr>
          <w:szCs w:val="26"/>
        </w:rPr>
        <w:t xml:space="preserve"> four (0.4%) percent increase over the prior year. </w:t>
      </w:r>
      <w:r>
        <w:t xml:space="preserve">A new Step 22 shall be added to the </w:t>
      </w:r>
      <w:r>
        <w:rPr>
          <w:szCs w:val="26"/>
        </w:rPr>
        <w:t xml:space="preserve">2024- 2025 </w:t>
      </w:r>
      <w:r>
        <w:t>salary schedule. The Step 22 salaries shall reflect a one point nine (1.9%) percent inc</w:t>
      </w:r>
      <w:r>
        <w:t xml:space="preserve">rease over the Step 21 salaries, as increased by the aforementioned </w:t>
      </w:r>
      <w:proofErr w:type="gramStart"/>
      <w:r>
        <w:t>zero point</w:t>
      </w:r>
      <w:proofErr w:type="gramEnd"/>
      <w:r>
        <w:t xml:space="preserve"> four</w:t>
      </w:r>
      <w:r>
        <w:rPr>
          <w:szCs w:val="26"/>
        </w:rPr>
        <w:t xml:space="preserve"> (0.4%)</w:t>
      </w:r>
      <w:r>
        <w:t xml:space="preserve"> percent.</w:t>
      </w:r>
    </w:p>
    <w:p w14:paraId="1684DDF5" w14:textId="2AA86D23" w:rsidR="004F7EFE" w:rsidRDefault="009534FA">
      <w:pPr>
        <w:pStyle w:val="BodyText5"/>
        <w:numPr>
          <w:ilvl w:val="1"/>
          <w:numId w:val="9"/>
        </w:numPr>
        <w:rPr>
          <w:szCs w:val="26"/>
        </w:rPr>
      </w:pPr>
      <w:r>
        <w:rPr>
          <w:szCs w:val="26"/>
        </w:rPr>
        <w:t xml:space="preserve">Effective July 1, 2025: The 2025- 2026 salary schedule shall reflect a </w:t>
      </w:r>
      <w:proofErr w:type="gramStart"/>
      <w:r>
        <w:rPr>
          <w:szCs w:val="26"/>
        </w:rPr>
        <w:t>zero point</w:t>
      </w:r>
      <w:proofErr w:type="gramEnd"/>
      <w:r>
        <w:rPr>
          <w:szCs w:val="26"/>
        </w:rPr>
        <w:t xml:space="preserve"> four (0.4%) percent increase over the prior year. </w:t>
      </w:r>
      <w:r>
        <w:t>A new Step 23 shall be a</w:t>
      </w:r>
      <w:r>
        <w:t xml:space="preserve">dded to the </w:t>
      </w:r>
      <w:r>
        <w:rPr>
          <w:szCs w:val="26"/>
        </w:rPr>
        <w:t xml:space="preserve">2025- 2026 </w:t>
      </w:r>
      <w:r>
        <w:t xml:space="preserve">salary schedule. The Step 23 salaries shall reflect a one point nine (1.9%) percent increase over the Step 22 salaries, as increased by the aforementioned </w:t>
      </w:r>
      <w:proofErr w:type="gramStart"/>
      <w:r>
        <w:t>zero point</w:t>
      </w:r>
      <w:proofErr w:type="gramEnd"/>
      <w:r>
        <w:t xml:space="preserve"> four</w:t>
      </w:r>
      <w:r>
        <w:rPr>
          <w:szCs w:val="26"/>
        </w:rPr>
        <w:t xml:space="preserve"> (0.4%)</w:t>
      </w:r>
      <w:r>
        <w:t xml:space="preserve"> percent. </w:t>
      </w:r>
    </w:p>
    <w:p w14:paraId="7AA8AC03" w14:textId="77777777" w:rsidR="004F7EFE" w:rsidRDefault="009534FA">
      <w:pPr>
        <w:pStyle w:val="BodyText5"/>
        <w:numPr>
          <w:ilvl w:val="0"/>
          <w:numId w:val="9"/>
        </w:numPr>
        <w:rPr>
          <w:szCs w:val="26"/>
        </w:rPr>
      </w:pPr>
      <w:r>
        <w:rPr>
          <w:b/>
          <w:szCs w:val="26"/>
        </w:rPr>
        <w:t>Longevity</w:t>
      </w:r>
      <w:r>
        <w:rPr>
          <w:szCs w:val="26"/>
        </w:rPr>
        <w:t>:</w:t>
      </w:r>
    </w:p>
    <w:p w14:paraId="33DBE182" w14:textId="3FD2F85D" w:rsidR="004F7EFE" w:rsidRDefault="009534FA">
      <w:pPr>
        <w:pStyle w:val="BodyText5"/>
        <w:numPr>
          <w:ilvl w:val="1"/>
          <w:numId w:val="9"/>
        </w:numPr>
        <w:rPr>
          <w:szCs w:val="26"/>
        </w:rPr>
      </w:pPr>
      <w:r>
        <w:rPr>
          <w:szCs w:val="26"/>
        </w:rPr>
        <w:t xml:space="preserve">Effective July 1, 2021: Longevity </w:t>
      </w:r>
      <w:r>
        <w:rPr>
          <w:szCs w:val="26"/>
        </w:rPr>
        <w:t>amounts shall reflect a one point nine (1.9%) percent increase over the prior year.</w:t>
      </w:r>
    </w:p>
    <w:p w14:paraId="1566F9CB" w14:textId="10743D6D" w:rsidR="004F7EFE" w:rsidRDefault="009534FA">
      <w:pPr>
        <w:pStyle w:val="BodyText5"/>
        <w:numPr>
          <w:ilvl w:val="1"/>
          <w:numId w:val="9"/>
        </w:numPr>
        <w:rPr>
          <w:szCs w:val="26"/>
        </w:rPr>
      </w:pPr>
      <w:r>
        <w:rPr>
          <w:szCs w:val="26"/>
        </w:rPr>
        <w:lastRenderedPageBreak/>
        <w:t>Effective July 1, 2022: Longevity amounts shall reflect a one point nine (1.9%) percent increase over the prior year.</w:t>
      </w:r>
    </w:p>
    <w:p w14:paraId="2A8991C0" w14:textId="3631B53D" w:rsidR="004F7EFE" w:rsidRDefault="009534FA">
      <w:pPr>
        <w:pStyle w:val="BodyText5"/>
        <w:numPr>
          <w:ilvl w:val="1"/>
          <w:numId w:val="9"/>
        </w:numPr>
        <w:rPr>
          <w:szCs w:val="26"/>
        </w:rPr>
      </w:pPr>
      <w:r>
        <w:rPr>
          <w:szCs w:val="26"/>
        </w:rPr>
        <w:t xml:space="preserve">Effective July 1, 2023: </w:t>
      </w:r>
      <w:r>
        <w:rPr>
          <w:szCs w:val="26"/>
        </w:rPr>
        <w:t>Longevity amounts shall reflect a one point four (1.4%) percent increase over the prior year.</w:t>
      </w:r>
    </w:p>
    <w:p w14:paraId="7AA944A5" w14:textId="27C9E632" w:rsidR="004F7EFE" w:rsidRDefault="009534FA">
      <w:pPr>
        <w:pStyle w:val="BodyText5"/>
        <w:numPr>
          <w:ilvl w:val="1"/>
          <w:numId w:val="9"/>
        </w:numPr>
        <w:rPr>
          <w:szCs w:val="26"/>
        </w:rPr>
      </w:pPr>
      <w:r>
        <w:rPr>
          <w:szCs w:val="26"/>
        </w:rPr>
        <w:t>Effective July 1, 2024: Longevity amounts shall reflect a one point nine (1.9%) percent increase over the prior year</w:t>
      </w:r>
    </w:p>
    <w:p w14:paraId="5CFCC439" w14:textId="7CB1E474" w:rsidR="004F7EFE" w:rsidRDefault="009534FA">
      <w:pPr>
        <w:pStyle w:val="BodyText5"/>
        <w:numPr>
          <w:ilvl w:val="1"/>
          <w:numId w:val="9"/>
        </w:numPr>
        <w:rPr>
          <w:szCs w:val="26"/>
        </w:rPr>
      </w:pPr>
      <w:r>
        <w:rPr>
          <w:szCs w:val="26"/>
        </w:rPr>
        <w:t>Effective July 1, 2025: Longevity amounts sha</w:t>
      </w:r>
      <w:r>
        <w:rPr>
          <w:szCs w:val="26"/>
        </w:rPr>
        <w:t>ll reflect a one point nine (1.9%) percent increase over the prior year</w:t>
      </w:r>
    </w:p>
    <w:p w14:paraId="6837476A" w14:textId="77777777" w:rsidR="004F7EFE" w:rsidRDefault="009534FA">
      <w:pPr>
        <w:pStyle w:val="BodyText5"/>
        <w:numPr>
          <w:ilvl w:val="0"/>
          <w:numId w:val="9"/>
        </w:numPr>
        <w:rPr>
          <w:b/>
          <w:szCs w:val="26"/>
        </w:rPr>
      </w:pPr>
      <w:r>
        <w:rPr>
          <w:rFonts w:eastAsia="Garamond" w:cs="Garamond"/>
          <w:b/>
          <w:szCs w:val="26"/>
        </w:rPr>
        <w:t>Article XII- Salary, Study Credits &amp; Other Compensation</w:t>
      </w:r>
    </w:p>
    <w:p w14:paraId="2BBBA326" w14:textId="77777777" w:rsidR="004F7EFE" w:rsidRDefault="009534FA">
      <w:pPr>
        <w:pStyle w:val="BodyText5"/>
        <w:numPr>
          <w:ilvl w:val="1"/>
          <w:numId w:val="9"/>
        </w:numPr>
        <w:rPr>
          <w:szCs w:val="26"/>
        </w:rPr>
      </w:pPr>
      <w:r>
        <w:rPr>
          <w:szCs w:val="26"/>
        </w:rPr>
        <w:t>Section B/Supplement B- Co-Curricular and Extra Pay Stipends:</w:t>
      </w:r>
    </w:p>
    <w:p w14:paraId="586EA306" w14:textId="6A410B48" w:rsidR="004F7EFE" w:rsidRDefault="009534FA">
      <w:pPr>
        <w:pStyle w:val="BodyText5"/>
        <w:numPr>
          <w:ilvl w:val="2"/>
          <w:numId w:val="9"/>
        </w:numPr>
        <w:rPr>
          <w:szCs w:val="26"/>
        </w:rPr>
      </w:pPr>
      <w:r>
        <w:rPr>
          <w:szCs w:val="26"/>
        </w:rPr>
        <w:t>Effective July 1, 2021: The 2021- 2022 stipends in Supplement B sh</w:t>
      </w:r>
      <w:r>
        <w:rPr>
          <w:szCs w:val="26"/>
        </w:rPr>
        <w:t xml:space="preserve">all reflect a one point nine (1.9%) percent increase over the prior year. </w:t>
      </w:r>
    </w:p>
    <w:p w14:paraId="2770FC31" w14:textId="125F76E6" w:rsidR="004F7EFE" w:rsidRDefault="009534FA">
      <w:pPr>
        <w:pStyle w:val="BodyText5"/>
        <w:numPr>
          <w:ilvl w:val="2"/>
          <w:numId w:val="9"/>
        </w:numPr>
        <w:rPr>
          <w:szCs w:val="26"/>
        </w:rPr>
      </w:pPr>
      <w:r>
        <w:rPr>
          <w:szCs w:val="26"/>
        </w:rPr>
        <w:t>Effective July 1, 2022: The 2022- 2023 stipends in Supplement B shall reflect a one point nine (1.9%) percent increase over the prior year</w:t>
      </w:r>
    </w:p>
    <w:p w14:paraId="3487A391" w14:textId="6007589D" w:rsidR="004F7EFE" w:rsidRDefault="009534FA">
      <w:pPr>
        <w:pStyle w:val="BodyText5"/>
        <w:numPr>
          <w:ilvl w:val="2"/>
          <w:numId w:val="9"/>
        </w:numPr>
        <w:rPr>
          <w:szCs w:val="26"/>
        </w:rPr>
      </w:pPr>
      <w:r>
        <w:rPr>
          <w:szCs w:val="26"/>
        </w:rPr>
        <w:t>Effective July 1, 2023: The 2023- 2024 sti</w:t>
      </w:r>
      <w:r>
        <w:rPr>
          <w:szCs w:val="26"/>
        </w:rPr>
        <w:t>pends in Supplement B shall reflect a one point four (1.4%) percent increase over the prior year</w:t>
      </w:r>
    </w:p>
    <w:p w14:paraId="529ABB41" w14:textId="1CA769F6" w:rsidR="004F7EFE" w:rsidRDefault="009534FA">
      <w:pPr>
        <w:pStyle w:val="BodyText5"/>
        <w:numPr>
          <w:ilvl w:val="2"/>
          <w:numId w:val="9"/>
        </w:numPr>
        <w:rPr>
          <w:szCs w:val="26"/>
        </w:rPr>
      </w:pPr>
      <w:r>
        <w:rPr>
          <w:szCs w:val="26"/>
        </w:rPr>
        <w:t>Effective July 1, 2024: The 2024- 2025 stipends in Supplement B shall reflect a one point nine (1.9%) percent increase over the prior year</w:t>
      </w:r>
    </w:p>
    <w:p w14:paraId="3CD78481" w14:textId="3AE15B8C" w:rsidR="004F7EFE" w:rsidRDefault="009534FA">
      <w:pPr>
        <w:pStyle w:val="BodyText5"/>
        <w:numPr>
          <w:ilvl w:val="2"/>
          <w:numId w:val="9"/>
        </w:numPr>
        <w:rPr>
          <w:szCs w:val="26"/>
        </w:rPr>
      </w:pPr>
      <w:r>
        <w:rPr>
          <w:szCs w:val="26"/>
        </w:rPr>
        <w:t>Effective July 1, 20</w:t>
      </w:r>
      <w:r>
        <w:rPr>
          <w:szCs w:val="26"/>
        </w:rPr>
        <w:t>25: The 2025- 2026 stipends in Supplement B shall reflect a one point nine (1.9%) percent increase over the prior year</w:t>
      </w:r>
    </w:p>
    <w:p w14:paraId="150E94B1" w14:textId="77777777" w:rsidR="004F7EFE" w:rsidRDefault="009534FA">
      <w:pPr>
        <w:pStyle w:val="BodyText5"/>
        <w:numPr>
          <w:ilvl w:val="1"/>
          <w:numId w:val="9"/>
        </w:numPr>
        <w:rPr>
          <w:szCs w:val="26"/>
        </w:rPr>
      </w:pPr>
      <w:r>
        <w:rPr>
          <w:szCs w:val="26"/>
        </w:rPr>
        <w:t>Section B/Supplement C- Coaching Stipends and Coaching Experience Additional Stipend Pay:</w:t>
      </w:r>
    </w:p>
    <w:p w14:paraId="6B6B093D" w14:textId="77777777" w:rsidR="004F7EFE" w:rsidRDefault="009534FA">
      <w:pPr>
        <w:pStyle w:val="BodyText5"/>
        <w:numPr>
          <w:ilvl w:val="2"/>
          <w:numId w:val="9"/>
        </w:numPr>
        <w:rPr>
          <w:szCs w:val="26"/>
        </w:rPr>
      </w:pPr>
      <w:r>
        <w:rPr>
          <w:szCs w:val="26"/>
        </w:rPr>
        <w:lastRenderedPageBreak/>
        <w:t>Effective July 1, 2021: The 2021- 2022 stipends</w:t>
      </w:r>
      <w:r>
        <w:rPr>
          <w:szCs w:val="26"/>
        </w:rPr>
        <w:t xml:space="preserve"> in Supplement C shall reflect one point nine (1.9%) percent increases over the prior year</w:t>
      </w:r>
    </w:p>
    <w:p w14:paraId="10725DDE" w14:textId="3CB42011" w:rsidR="004F7EFE" w:rsidRDefault="009534FA">
      <w:pPr>
        <w:pStyle w:val="BodyText5"/>
        <w:numPr>
          <w:ilvl w:val="2"/>
          <w:numId w:val="9"/>
        </w:numPr>
        <w:rPr>
          <w:szCs w:val="26"/>
        </w:rPr>
      </w:pPr>
      <w:r>
        <w:rPr>
          <w:szCs w:val="26"/>
        </w:rPr>
        <w:t>Effective July 1, 2022: The 2022- 2023 stipends in Supplement C shall reflect one point nine (1.9%) percent increases over the prior year</w:t>
      </w:r>
    </w:p>
    <w:p w14:paraId="044E592F" w14:textId="2D961C6E" w:rsidR="004F7EFE" w:rsidRDefault="009534FA">
      <w:pPr>
        <w:pStyle w:val="BodyText5"/>
        <w:numPr>
          <w:ilvl w:val="2"/>
          <w:numId w:val="9"/>
        </w:numPr>
        <w:rPr>
          <w:szCs w:val="26"/>
        </w:rPr>
      </w:pPr>
      <w:r>
        <w:rPr>
          <w:szCs w:val="26"/>
        </w:rPr>
        <w:t xml:space="preserve">Effective July 1, 2023: </w:t>
      </w:r>
      <w:r>
        <w:rPr>
          <w:szCs w:val="26"/>
        </w:rPr>
        <w:t>The 2023- 2024 stipends in Supplement C shall reflect one point four (1.4%) percent increases over the prior year</w:t>
      </w:r>
    </w:p>
    <w:p w14:paraId="64A133B8" w14:textId="3E0BA892" w:rsidR="004F7EFE" w:rsidRDefault="009534FA">
      <w:pPr>
        <w:pStyle w:val="BodyText5"/>
        <w:numPr>
          <w:ilvl w:val="2"/>
          <w:numId w:val="9"/>
        </w:numPr>
        <w:rPr>
          <w:szCs w:val="26"/>
        </w:rPr>
      </w:pPr>
      <w:r>
        <w:rPr>
          <w:szCs w:val="26"/>
        </w:rPr>
        <w:t>Effective July 1, 2024: The 2024- 2025 stipends in Supplement C shall reflect one point nine (1.9%) percent increases over the prior year</w:t>
      </w:r>
    </w:p>
    <w:p w14:paraId="7D2B7761" w14:textId="220F7CF7" w:rsidR="004F7EFE" w:rsidRDefault="009534FA">
      <w:pPr>
        <w:pStyle w:val="BodyText5"/>
        <w:numPr>
          <w:ilvl w:val="2"/>
          <w:numId w:val="9"/>
        </w:numPr>
        <w:rPr>
          <w:szCs w:val="26"/>
        </w:rPr>
      </w:pPr>
      <w:r>
        <w:rPr>
          <w:szCs w:val="26"/>
        </w:rPr>
        <w:t>Effe</w:t>
      </w:r>
      <w:r>
        <w:rPr>
          <w:szCs w:val="26"/>
        </w:rPr>
        <w:t>ctive July 1, 2025: The 2025- 2026 stipends in Supplement C shall reflect one point nine (1.9%) percent increases over the prior year</w:t>
      </w:r>
    </w:p>
    <w:p w14:paraId="078FB083" w14:textId="77777777" w:rsidR="004F7EFE" w:rsidRDefault="009534FA">
      <w:pPr>
        <w:pStyle w:val="BodyText5"/>
        <w:numPr>
          <w:ilvl w:val="1"/>
          <w:numId w:val="9"/>
        </w:numPr>
        <w:rPr>
          <w:szCs w:val="26"/>
        </w:rPr>
      </w:pPr>
      <w:r>
        <w:rPr>
          <w:szCs w:val="26"/>
        </w:rPr>
        <w:t>Section C(5): The hourly rate for curriculum development work shall be increased as follows:</w:t>
      </w:r>
    </w:p>
    <w:p w14:paraId="2E735733" w14:textId="7956E1BB" w:rsidR="004F7EFE" w:rsidRDefault="009534FA">
      <w:pPr>
        <w:pStyle w:val="BodyText5"/>
        <w:numPr>
          <w:ilvl w:val="2"/>
          <w:numId w:val="9"/>
        </w:numPr>
        <w:rPr>
          <w:szCs w:val="26"/>
        </w:rPr>
      </w:pPr>
      <w:r>
        <w:rPr>
          <w:szCs w:val="26"/>
        </w:rPr>
        <w:t xml:space="preserve"> Effective July 1, 2021: One </w:t>
      </w:r>
      <w:r>
        <w:rPr>
          <w:szCs w:val="26"/>
        </w:rPr>
        <w:t>point nine (1.9%) percent increase over the prior year</w:t>
      </w:r>
    </w:p>
    <w:p w14:paraId="19E50F8E" w14:textId="588443A3" w:rsidR="004F7EFE" w:rsidRDefault="009534FA">
      <w:pPr>
        <w:pStyle w:val="BodyText5"/>
        <w:numPr>
          <w:ilvl w:val="2"/>
          <w:numId w:val="9"/>
        </w:numPr>
        <w:rPr>
          <w:szCs w:val="26"/>
        </w:rPr>
      </w:pPr>
      <w:r>
        <w:rPr>
          <w:szCs w:val="26"/>
        </w:rPr>
        <w:t>Effective July 1, 2022: One point nine (1.9%) percent increase over the prior year</w:t>
      </w:r>
    </w:p>
    <w:p w14:paraId="03926DC4" w14:textId="21EE7FC3" w:rsidR="004F7EFE" w:rsidRDefault="009534FA">
      <w:pPr>
        <w:pStyle w:val="BodyText0"/>
        <w:numPr>
          <w:ilvl w:val="2"/>
          <w:numId w:val="9"/>
        </w:numPr>
        <w:rPr>
          <w:szCs w:val="26"/>
        </w:rPr>
      </w:pPr>
      <w:r>
        <w:rPr>
          <w:szCs w:val="26"/>
        </w:rPr>
        <w:t>Effective July 1, 2023: One point four (1.4%) percent increase over the prior year</w:t>
      </w:r>
    </w:p>
    <w:p w14:paraId="2389AE01" w14:textId="3A83E4B2" w:rsidR="004F7EFE" w:rsidRDefault="009534FA">
      <w:pPr>
        <w:pStyle w:val="BodyText5"/>
        <w:numPr>
          <w:ilvl w:val="2"/>
          <w:numId w:val="9"/>
        </w:numPr>
        <w:rPr>
          <w:szCs w:val="26"/>
        </w:rPr>
      </w:pPr>
      <w:r>
        <w:rPr>
          <w:szCs w:val="26"/>
        </w:rPr>
        <w:t>Effective July 1, 2024: One point n</w:t>
      </w:r>
      <w:r>
        <w:rPr>
          <w:szCs w:val="26"/>
        </w:rPr>
        <w:t>ine (1.9%) percent increase over the prior year</w:t>
      </w:r>
    </w:p>
    <w:p w14:paraId="519D3FC6" w14:textId="40F4930C" w:rsidR="004F7EFE" w:rsidRDefault="009534FA">
      <w:pPr>
        <w:pStyle w:val="BodyText5"/>
        <w:numPr>
          <w:ilvl w:val="2"/>
          <w:numId w:val="9"/>
        </w:numPr>
        <w:rPr>
          <w:szCs w:val="26"/>
        </w:rPr>
      </w:pPr>
      <w:r>
        <w:rPr>
          <w:szCs w:val="26"/>
        </w:rPr>
        <w:t>Effective July 1, 2025: One point nine (1.9%) percent increase over the prior year</w:t>
      </w:r>
    </w:p>
    <w:p w14:paraId="1868C438" w14:textId="77777777" w:rsidR="004F7EFE" w:rsidRDefault="009534FA">
      <w:pPr>
        <w:pStyle w:val="BodyText0"/>
        <w:numPr>
          <w:ilvl w:val="0"/>
          <w:numId w:val="9"/>
        </w:numPr>
        <w:rPr>
          <w:szCs w:val="26"/>
        </w:rPr>
      </w:pPr>
      <w:r>
        <w:rPr>
          <w:rFonts w:eastAsia="Garamond" w:cs="Garamond"/>
          <w:b/>
          <w:szCs w:val="26"/>
        </w:rPr>
        <w:lastRenderedPageBreak/>
        <w:t>Article XVIII- Miscellaneous Provisions</w:t>
      </w:r>
    </w:p>
    <w:p w14:paraId="063C4BE6" w14:textId="77777777" w:rsidR="004F7EFE" w:rsidRDefault="009534FA">
      <w:pPr>
        <w:pStyle w:val="BodyText0"/>
        <w:numPr>
          <w:ilvl w:val="1"/>
          <w:numId w:val="9"/>
        </w:numPr>
        <w:rPr>
          <w:szCs w:val="26"/>
        </w:rPr>
      </w:pPr>
      <w:r>
        <w:rPr>
          <w:szCs w:val="26"/>
        </w:rPr>
        <w:t>Compensation for: In-House Coverage for Absent Teachers (Section H); Tutorial Service</w:t>
      </w:r>
      <w:r>
        <w:rPr>
          <w:szCs w:val="26"/>
        </w:rPr>
        <w:t>s (Section I); District-Sponsored Summer Programs (Section M); and Speech, Physical and Occupational Therapists performing IEP mandated services outside of the regular 7-hour school day (Section O) shall be increased as follows:</w:t>
      </w:r>
    </w:p>
    <w:p w14:paraId="523868D5" w14:textId="4D3E40E9" w:rsidR="004F7EFE" w:rsidRDefault="009534FA">
      <w:pPr>
        <w:pStyle w:val="BodyText5"/>
        <w:numPr>
          <w:ilvl w:val="2"/>
          <w:numId w:val="9"/>
        </w:numPr>
        <w:rPr>
          <w:szCs w:val="26"/>
        </w:rPr>
      </w:pPr>
      <w:r>
        <w:rPr>
          <w:szCs w:val="26"/>
        </w:rPr>
        <w:t>Effective July 1, 2021: One</w:t>
      </w:r>
      <w:r>
        <w:rPr>
          <w:szCs w:val="26"/>
        </w:rPr>
        <w:t xml:space="preserve"> point nine (1.9%) percent increase over the prior year</w:t>
      </w:r>
    </w:p>
    <w:p w14:paraId="591A88A5" w14:textId="6689F69D" w:rsidR="004F7EFE" w:rsidRDefault="009534FA">
      <w:pPr>
        <w:pStyle w:val="BodyText5"/>
        <w:numPr>
          <w:ilvl w:val="2"/>
          <w:numId w:val="9"/>
        </w:numPr>
        <w:rPr>
          <w:szCs w:val="26"/>
        </w:rPr>
      </w:pPr>
      <w:r>
        <w:rPr>
          <w:szCs w:val="26"/>
        </w:rPr>
        <w:t>Effective July 1, 2022: One point nine (1.9%) percent increase over the prior year</w:t>
      </w:r>
    </w:p>
    <w:p w14:paraId="69F916E7" w14:textId="08CB097D" w:rsidR="004F7EFE" w:rsidRDefault="009534FA">
      <w:pPr>
        <w:pStyle w:val="BodyText0"/>
        <w:numPr>
          <w:ilvl w:val="2"/>
          <w:numId w:val="9"/>
        </w:numPr>
        <w:rPr>
          <w:szCs w:val="26"/>
        </w:rPr>
      </w:pPr>
      <w:r>
        <w:rPr>
          <w:szCs w:val="26"/>
        </w:rPr>
        <w:t>Effective July 1, 2023: One point four (1.4%) percent increase over the prior year</w:t>
      </w:r>
    </w:p>
    <w:p w14:paraId="68A2DEBA" w14:textId="6C275DB8" w:rsidR="004F7EFE" w:rsidRDefault="009534FA">
      <w:pPr>
        <w:pStyle w:val="BodyText0"/>
        <w:numPr>
          <w:ilvl w:val="2"/>
          <w:numId w:val="9"/>
        </w:numPr>
        <w:rPr>
          <w:szCs w:val="26"/>
        </w:rPr>
      </w:pPr>
      <w:r>
        <w:rPr>
          <w:szCs w:val="26"/>
        </w:rPr>
        <w:t xml:space="preserve">Effective July 1, 2024: One </w:t>
      </w:r>
      <w:r>
        <w:rPr>
          <w:szCs w:val="26"/>
        </w:rPr>
        <w:t>point nine (1.9%) percent increase over the prior year</w:t>
      </w:r>
    </w:p>
    <w:p w14:paraId="13F08A84" w14:textId="51340C3D" w:rsidR="004F7EFE" w:rsidRDefault="009534FA">
      <w:pPr>
        <w:pStyle w:val="BodyText0"/>
        <w:numPr>
          <w:ilvl w:val="2"/>
          <w:numId w:val="9"/>
        </w:numPr>
        <w:rPr>
          <w:szCs w:val="26"/>
        </w:rPr>
      </w:pPr>
      <w:r>
        <w:rPr>
          <w:szCs w:val="26"/>
        </w:rPr>
        <w:t>Effective July 1, 2035: One point nine (1.9%) percent increase over the prior year</w:t>
      </w:r>
    </w:p>
    <w:p w14:paraId="54C6683C" w14:textId="77777777" w:rsidR="004F7EFE" w:rsidRDefault="004F7EFE">
      <w:pPr>
        <w:pStyle w:val="BodyText0"/>
        <w:ind w:left="1800"/>
        <w:rPr>
          <w:szCs w:val="26"/>
        </w:rPr>
      </w:pPr>
    </w:p>
    <w:p w14:paraId="568B3573" w14:textId="77777777" w:rsidR="004F7EFE" w:rsidRDefault="009534FA">
      <w:pPr>
        <w:pStyle w:val="BodyText5"/>
        <w:numPr>
          <w:ilvl w:val="0"/>
          <w:numId w:val="9"/>
        </w:numPr>
        <w:rPr>
          <w:szCs w:val="26"/>
        </w:rPr>
      </w:pPr>
      <w:r>
        <w:rPr>
          <w:b/>
          <w:szCs w:val="26"/>
        </w:rPr>
        <w:t xml:space="preserve">Article XIII- Insurance </w:t>
      </w:r>
    </w:p>
    <w:p w14:paraId="358E733D" w14:textId="77777777" w:rsidR="004F7EFE" w:rsidRDefault="009534FA">
      <w:pPr>
        <w:pStyle w:val="BodyText5"/>
        <w:numPr>
          <w:ilvl w:val="1"/>
          <w:numId w:val="9"/>
        </w:numPr>
        <w:rPr>
          <w:szCs w:val="26"/>
        </w:rPr>
      </w:pPr>
      <w:r>
        <w:rPr>
          <w:szCs w:val="26"/>
        </w:rPr>
        <w:t>Section B(1) and (2):</w:t>
      </w:r>
      <w:r>
        <w:rPr>
          <w:b/>
          <w:szCs w:val="26"/>
        </w:rPr>
        <w:t xml:space="preserve"> </w:t>
      </w:r>
      <w:r>
        <w:rPr>
          <w:szCs w:val="26"/>
        </w:rPr>
        <w:t xml:space="preserve">Delete and replace with the following: </w:t>
      </w:r>
    </w:p>
    <w:p w14:paraId="34E7CBAB" w14:textId="77777777" w:rsidR="004F7EFE" w:rsidRDefault="009534FA">
      <w:pPr>
        <w:pStyle w:val="BlockIndent"/>
      </w:pPr>
      <w:r>
        <w:t>1. Bargaining unit members hir</w:t>
      </w:r>
      <w:r>
        <w:t>ed on or before July 1, 1991 shall contribute the following amounts towards the cost of coverage under the District’s health insurance plan:</w:t>
      </w:r>
    </w:p>
    <w:p w14:paraId="3B7D372A" w14:textId="3EE3ADAD" w:rsidR="004F7EFE" w:rsidRDefault="009534FA">
      <w:pPr>
        <w:pStyle w:val="BlockIndent"/>
        <w:ind w:left="2160"/>
      </w:pPr>
      <w:r>
        <w:t xml:space="preserve">a. Effective July 1, 2022: </w:t>
      </w:r>
      <w:proofErr w:type="gramStart"/>
      <w:r>
        <w:t>Four point</w:t>
      </w:r>
      <w:proofErr w:type="gramEnd"/>
      <w:r>
        <w:t xml:space="preserve"> five (4.5%) percent of the premium cost for individual and/or dependent cover</w:t>
      </w:r>
      <w:r>
        <w:t>age, as applicable</w:t>
      </w:r>
    </w:p>
    <w:p w14:paraId="4DBA0A24" w14:textId="6DB902DD" w:rsidR="004F7EFE" w:rsidRDefault="009534FA">
      <w:pPr>
        <w:pStyle w:val="BlockIndent"/>
        <w:ind w:left="2160"/>
      </w:pPr>
      <w:r>
        <w:lastRenderedPageBreak/>
        <w:t>b. Effective July 1, 2023: Four point seven five (4.75%) percent of the premium cost for individual and/or dependent coverage, as applicable</w:t>
      </w:r>
    </w:p>
    <w:p w14:paraId="7523F6A5" w14:textId="1A033544" w:rsidR="004F7EFE" w:rsidRDefault="009534FA">
      <w:pPr>
        <w:pStyle w:val="BlockIndent"/>
        <w:ind w:left="2160"/>
      </w:pPr>
      <w:r>
        <w:t>c. Effective July 1, 2024: Five (5%) percent of the premium cost for individual and/or dependent</w:t>
      </w:r>
      <w:r>
        <w:t xml:space="preserve"> coverage, as applicable</w:t>
      </w:r>
    </w:p>
    <w:p w14:paraId="7FBA0389" w14:textId="77777777" w:rsidR="004F7EFE" w:rsidRDefault="009534FA">
      <w:pPr>
        <w:pStyle w:val="BlockIndent"/>
      </w:pPr>
      <w:r>
        <w:t>2. Bargaining unit members hired after July 1, 1991 shall contribute the following amounts towards the cost of coverage under the District’s health insurance plan:</w:t>
      </w:r>
    </w:p>
    <w:p w14:paraId="1E2698AE" w14:textId="2F470234" w:rsidR="004F7EFE" w:rsidRDefault="009534FA">
      <w:pPr>
        <w:pStyle w:val="BlockIndent"/>
        <w:ind w:left="2160"/>
      </w:pPr>
      <w:r>
        <w:t xml:space="preserve">a. Effective July 1, 2022: </w:t>
      </w:r>
      <w:proofErr w:type="gramStart"/>
      <w:r>
        <w:t>Fourteen point</w:t>
      </w:r>
      <w:proofErr w:type="gramEnd"/>
      <w:r>
        <w:t xml:space="preserve"> five (14.5%) percent of t</w:t>
      </w:r>
      <w:r>
        <w:t>he premium cost for individual and/or dependent coverage, as applicable</w:t>
      </w:r>
    </w:p>
    <w:p w14:paraId="49BC1311" w14:textId="2BC55C73" w:rsidR="004F7EFE" w:rsidRDefault="009534FA">
      <w:pPr>
        <w:pStyle w:val="BlockIndent"/>
        <w:ind w:left="2160"/>
      </w:pPr>
      <w:r>
        <w:t>b. Effective July 1, 2023: Fourteen point seven five (14.75%) percent of the premium cost for individual and/or dependent coverage, as applicable</w:t>
      </w:r>
    </w:p>
    <w:p w14:paraId="4F34546F" w14:textId="604D05FD" w:rsidR="004F7EFE" w:rsidRDefault="009534FA">
      <w:pPr>
        <w:pStyle w:val="BlockIndent"/>
        <w:ind w:left="2160"/>
      </w:pPr>
      <w:r>
        <w:t>c. Effective July 1, 2024: Fifteen (15</w:t>
      </w:r>
      <w:r>
        <w:t>%) percent of the premium cost for individual and/or dependent coverage, as applicable</w:t>
      </w:r>
    </w:p>
    <w:p w14:paraId="0EDBC857" w14:textId="0DAC1A73" w:rsidR="004F7EFE" w:rsidRDefault="009534FA">
      <w:pPr>
        <w:pStyle w:val="BodyText5"/>
        <w:numPr>
          <w:ilvl w:val="1"/>
          <w:numId w:val="9"/>
        </w:numPr>
        <w:rPr>
          <w:bCs/>
          <w:szCs w:val="26"/>
        </w:rPr>
      </w:pPr>
      <w:r>
        <w:rPr>
          <w:bCs/>
          <w:szCs w:val="26"/>
        </w:rPr>
        <w:t>Section F- Welfare Trust Fund:</w:t>
      </w:r>
    </w:p>
    <w:p w14:paraId="20A15FEA" w14:textId="5DD0A0A0" w:rsidR="004F7EFE" w:rsidRDefault="009534FA">
      <w:pPr>
        <w:pStyle w:val="BodyText5"/>
        <w:numPr>
          <w:ilvl w:val="2"/>
          <w:numId w:val="9"/>
        </w:numPr>
        <w:rPr>
          <w:szCs w:val="26"/>
        </w:rPr>
      </w:pPr>
      <w:r>
        <w:rPr>
          <w:szCs w:val="26"/>
        </w:rPr>
        <w:t>Effective July 1, 2021: The Welfare Fund contribution rate shall reflect a one point nine (1.9%) percent increase over the prior year</w:t>
      </w:r>
    </w:p>
    <w:p w14:paraId="69E95139" w14:textId="1DBB634D" w:rsidR="004F7EFE" w:rsidRDefault="009534FA">
      <w:pPr>
        <w:pStyle w:val="BodyText5"/>
        <w:numPr>
          <w:ilvl w:val="2"/>
          <w:numId w:val="9"/>
        </w:numPr>
        <w:rPr>
          <w:szCs w:val="26"/>
        </w:rPr>
      </w:pPr>
      <w:r>
        <w:rPr>
          <w:szCs w:val="26"/>
        </w:rPr>
        <w:t>Effe</w:t>
      </w:r>
      <w:r>
        <w:rPr>
          <w:szCs w:val="26"/>
        </w:rPr>
        <w:t>ctive July 1, 2022: The Welfare Fund contribution rate shall reflect a one point nine (1.9%) percent increase over the prior year</w:t>
      </w:r>
    </w:p>
    <w:p w14:paraId="36DDE0E8" w14:textId="32D6582A" w:rsidR="004F7EFE" w:rsidRDefault="009534FA">
      <w:pPr>
        <w:pStyle w:val="BodyText5"/>
        <w:numPr>
          <w:ilvl w:val="2"/>
          <w:numId w:val="9"/>
        </w:numPr>
        <w:rPr>
          <w:szCs w:val="26"/>
        </w:rPr>
      </w:pPr>
      <w:r>
        <w:rPr>
          <w:szCs w:val="26"/>
        </w:rPr>
        <w:t>Effective July 1, 2023: The Welfare Fund contribution rate shall reflect a one point four (1.4%) percent increase over the pri</w:t>
      </w:r>
      <w:r>
        <w:rPr>
          <w:szCs w:val="26"/>
        </w:rPr>
        <w:t>or year</w:t>
      </w:r>
    </w:p>
    <w:p w14:paraId="43944235" w14:textId="29702025" w:rsidR="004F7EFE" w:rsidRDefault="009534FA">
      <w:pPr>
        <w:pStyle w:val="BodyText5"/>
        <w:numPr>
          <w:ilvl w:val="2"/>
          <w:numId w:val="9"/>
        </w:numPr>
        <w:rPr>
          <w:szCs w:val="26"/>
        </w:rPr>
      </w:pPr>
      <w:r>
        <w:rPr>
          <w:szCs w:val="26"/>
        </w:rPr>
        <w:t>Effective July 1, 2024: The Welfare Fund contribution rate shall reflect a one point nine (1.9%) percent increase over the prior year</w:t>
      </w:r>
    </w:p>
    <w:p w14:paraId="7909FF04" w14:textId="1E34B780" w:rsidR="004F7EFE" w:rsidRDefault="009534FA">
      <w:pPr>
        <w:pStyle w:val="BodyText5"/>
        <w:numPr>
          <w:ilvl w:val="2"/>
          <w:numId w:val="9"/>
        </w:numPr>
        <w:rPr>
          <w:szCs w:val="26"/>
        </w:rPr>
      </w:pPr>
      <w:r>
        <w:rPr>
          <w:szCs w:val="26"/>
        </w:rPr>
        <w:lastRenderedPageBreak/>
        <w:t xml:space="preserve">Effective July 1, 2025: The Welfare Fund contribution rate shall reflect a one point nine (1.9%) percent increase </w:t>
      </w:r>
      <w:r>
        <w:rPr>
          <w:szCs w:val="26"/>
        </w:rPr>
        <w:t>over the prior year</w:t>
      </w:r>
    </w:p>
    <w:p w14:paraId="04DA0667" w14:textId="77777777" w:rsidR="004F7EFE" w:rsidRDefault="009534FA">
      <w:pPr>
        <w:pStyle w:val="BodyText5"/>
        <w:numPr>
          <w:ilvl w:val="0"/>
          <w:numId w:val="9"/>
        </w:numPr>
        <w:rPr>
          <w:b/>
          <w:szCs w:val="26"/>
        </w:rPr>
      </w:pPr>
      <w:r>
        <w:rPr>
          <w:b/>
          <w:szCs w:val="26"/>
        </w:rPr>
        <w:t>Article IV- Teaching Conditions</w:t>
      </w:r>
    </w:p>
    <w:p w14:paraId="29385281" w14:textId="1F6A8938" w:rsidR="004F7EFE" w:rsidRDefault="009534FA">
      <w:pPr>
        <w:pStyle w:val="BodyText5"/>
        <w:numPr>
          <w:ilvl w:val="1"/>
          <w:numId w:val="9"/>
        </w:numPr>
        <w:rPr>
          <w:szCs w:val="26"/>
        </w:rPr>
      </w:pPr>
      <w:r>
        <w:rPr>
          <w:szCs w:val="26"/>
        </w:rPr>
        <w:t>Section D(2)- Class Size and Load</w:t>
      </w:r>
    </w:p>
    <w:p w14:paraId="2647B910" w14:textId="37E0460D" w:rsidR="004F7EFE" w:rsidRDefault="009534FA">
      <w:pPr>
        <w:pStyle w:val="BodyText0"/>
        <w:numPr>
          <w:ilvl w:val="2"/>
          <w:numId w:val="9"/>
        </w:numPr>
        <w:rPr>
          <w:szCs w:val="26"/>
        </w:rPr>
      </w:pPr>
      <w:r>
        <w:rPr>
          <w:szCs w:val="26"/>
        </w:rPr>
        <w:t xml:space="preserve">Change “132 students” to “128 students” </w:t>
      </w:r>
    </w:p>
    <w:p w14:paraId="57A92514" w14:textId="41D8CCE1" w:rsidR="004F7EFE" w:rsidRDefault="009534FA">
      <w:pPr>
        <w:pStyle w:val="BodyText0"/>
        <w:numPr>
          <w:ilvl w:val="1"/>
          <w:numId w:val="9"/>
        </w:numPr>
        <w:rPr>
          <w:szCs w:val="26"/>
        </w:rPr>
      </w:pPr>
      <w:r>
        <w:rPr>
          <w:szCs w:val="26"/>
        </w:rPr>
        <w:t>Section F-</w:t>
      </w:r>
      <w:r>
        <w:t xml:space="preserve"> Elementary School and Intermediate School Teacher-Parent Conferences</w:t>
      </w:r>
      <w:r>
        <w:rPr>
          <w:szCs w:val="26"/>
        </w:rPr>
        <w:t xml:space="preserve">: </w:t>
      </w:r>
      <w:r>
        <w:t>Amend to add the following new language:</w:t>
      </w:r>
    </w:p>
    <w:p w14:paraId="3BEA5EE3" w14:textId="0ECFD9EA" w:rsidR="004F7EFE" w:rsidRDefault="009534FA">
      <w:pPr>
        <w:pStyle w:val="BlockIndent"/>
      </w:pPr>
      <w:r>
        <w:t>Teacher-Parent conferences may be held virtually via an approved video conferencing platform upon the consent of the parent and the approval of the Building Principal.</w:t>
      </w:r>
    </w:p>
    <w:p w14:paraId="20C6A43F" w14:textId="7327203D" w:rsidR="004F7EFE" w:rsidRDefault="009534FA">
      <w:pPr>
        <w:pStyle w:val="BodyText0"/>
        <w:numPr>
          <w:ilvl w:val="1"/>
          <w:numId w:val="9"/>
        </w:numPr>
        <w:rPr>
          <w:szCs w:val="26"/>
        </w:rPr>
      </w:pPr>
      <w:r>
        <w:rPr>
          <w:szCs w:val="26"/>
        </w:rPr>
        <w:t xml:space="preserve">Section Q- </w:t>
      </w:r>
      <w:r>
        <w:t>Removal from Extra-Curricular Activity</w:t>
      </w:r>
    </w:p>
    <w:p w14:paraId="3F0CB048" w14:textId="0C62B20B" w:rsidR="004F7EFE" w:rsidRDefault="009534FA">
      <w:pPr>
        <w:pStyle w:val="BodyText0"/>
        <w:numPr>
          <w:ilvl w:val="2"/>
          <w:numId w:val="9"/>
        </w:numPr>
        <w:rPr>
          <w:szCs w:val="26"/>
        </w:rPr>
      </w:pPr>
      <w:r>
        <w:t>Add the following</w:t>
      </w:r>
      <w:r>
        <w:t xml:space="preserve"> new language:</w:t>
      </w:r>
    </w:p>
    <w:p w14:paraId="759BAF70" w14:textId="631DFB86" w:rsidR="004F7EFE" w:rsidRDefault="009534FA">
      <w:pPr>
        <w:pStyle w:val="BlockIndent"/>
        <w:ind w:left="1800"/>
      </w:pPr>
      <w:r>
        <w:t>The parties shall establish a mutually agreed upon orientation and annual review process for teachers assigned to paid extra-curricular activities for the purpose of providing meaningful and timely feedback to teachers assigned to these role</w:t>
      </w:r>
      <w:r>
        <w:t>s in support of a professional climate that values feedback, reflection, and growth. As part of the annual review process, the parties will create an evaluation form to evaluate teachers’ performance in the paid extra-curricular activities. Teachers will n</w:t>
      </w:r>
      <w:r>
        <w:t xml:space="preserve">ot be removed from paid extra-curricular activities unless the District finds their performance unsatisfactory, the reasons for which should be reflected in the evaluation form. Nothing here shall restrict the District’s ability to remove a teacher from a </w:t>
      </w:r>
      <w:r>
        <w:t>paid extra-curricular activity for cause at any time, with prior consultation with the Superintendent of Schools, or his/her designee.</w:t>
      </w:r>
    </w:p>
    <w:p w14:paraId="3A5D2650" w14:textId="7E600FCB" w:rsidR="004F7EFE" w:rsidRDefault="009534FA">
      <w:pPr>
        <w:pStyle w:val="BlockIndent"/>
        <w:ind w:left="1800"/>
        <w:rPr>
          <w:szCs w:val="26"/>
        </w:rPr>
      </w:pPr>
      <w:r>
        <w:rPr>
          <w:szCs w:val="26"/>
        </w:rPr>
        <w:t xml:space="preserve">The foregoing requirements do not apply to athletic coaching positions. </w:t>
      </w:r>
    </w:p>
    <w:p w14:paraId="2D48C960" w14:textId="5815591C" w:rsidR="004F7EFE" w:rsidRDefault="009534FA">
      <w:pPr>
        <w:pStyle w:val="BodyText0"/>
        <w:numPr>
          <w:ilvl w:val="0"/>
          <w:numId w:val="9"/>
        </w:numPr>
        <w:rPr>
          <w:b/>
          <w:bCs/>
          <w:szCs w:val="26"/>
        </w:rPr>
      </w:pPr>
      <w:r>
        <w:rPr>
          <w:b/>
          <w:bCs/>
          <w:szCs w:val="26"/>
        </w:rPr>
        <w:lastRenderedPageBreak/>
        <w:t>Article X- School Calendar</w:t>
      </w:r>
    </w:p>
    <w:p w14:paraId="460861FC" w14:textId="0FB6C122" w:rsidR="004F7EFE" w:rsidRDefault="009534FA">
      <w:pPr>
        <w:pStyle w:val="BodyText0"/>
        <w:numPr>
          <w:ilvl w:val="1"/>
          <w:numId w:val="9"/>
        </w:numPr>
        <w:rPr>
          <w:szCs w:val="26"/>
        </w:rPr>
      </w:pPr>
      <w:r>
        <w:rPr>
          <w:szCs w:val="26"/>
        </w:rPr>
        <w:t>Section A</w:t>
      </w:r>
    </w:p>
    <w:p w14:paraId="783371CA" w14:textId="7E23E19F" w:rsidR="004F7EFE" w:rsidRDefault="009534FA">
      <w:pPr>
        <w:pStyle w:val="BodyText0"/>
        <w:numPr>
          <w:ilvl w:val="2"/>
          <w:numId w:val="9"/>
        </w:numPr>
        <w:rPr>
          <w:szCs w:val="26"/>
        </w:rPr>
      </w:pPr>
      <w:r>
        <w:rPr>
          <w:szCs w:val="26"/>
        </w:rPr>
        <w:t>Add new Sec</w:t>
      </w:r>
      <w:r>
        <w:rPr>
          <w:szCs w:val="26"/>
        </w:rPr>
        <w:t>tion A(4) as follows:</w:t>
      </w:r>
    </w:p>
    <w:p w14:paraId="3C17C2C9" w14:textId="039F3326" w:rsidR="004F7EFE" w:rsidRDefault="009534FA">
      <w:pPr>
        <w:pStyle w:val="BlockIndent"/>
        <w:ind w:left="1800"/>
        <w:rPr>
          <w:szCs w:val="26"/>
        </w:rPr>
      </w:pPr>
      <w:r>
        <w:rPr>
          <w:szCs w:val="26"/>
        </w:rPr>
        <w:t>The school calendar shall not start more than one week (7 days) before Labor Day.</w:t>
      </w:r>
    </w:p>
    <w:p w14:paraId="0AC2F0EE" w14:textId="0D79E983" w:rsidR="004F7EFE" w:rsidRDefault="009534FA">
      <w:pPr>
        <w:pStyle w:val="BodyText0"/>
        <w:numPr>
          <w:ilvl w:val="0"/>
          <w:numId w:val="9"/>
        </w:numPr>
        <w:rPr>
          <w:b/>
          <w:bCs/>
          <w:szCs w:val="26"/>
        </w:rPr>
      </w:pPr>
      <w:r>
        <w:rPr>
          <w:b/>
          <w:bCs/>
          <w:szCs w:val="26"/>
        </w:rPr>
        <w:t>Article XV- Leave Policy</w:t>
      </w:r>
    </w:p>
    <w:p w14:paraId="18FFFC9E" w14:textId="4481A5F7" w:rsidR="004F7EFE" w:rsidRDefault="009534FA">
      <w:pPr>
        <w:pStyle w:val="BodyText0"/>
        <w:numPr>
          <w:ilvl w:val="1"/>
          <w:numId w:val="9"/>
        </w:numPr>
        <w:rPr>
          <w:szCs w:val="26"/>
        </w:rPr>
      </w:pPr>
      <w:r>
        <w:rPr>
          <w:szCs w:val="26"/>
        </w:rPr>
        <w:t>Section B- Sick Leave Bank</w:t>
      </w:r>
    </w:p>
    <w:p w14:paraId="3CC8D5C3" w14:textId="355ABE69" w:rsidR="004F7EFE" w:rsidRDefault="009534FA">
      <w:pPr>
        <w:pStyle w:val="BodyText0"/>
        <w:numPr>
          <w:ilvl w:val="2"/>
          <w:numId w:val="9"/>
        </w:numPr>
        <w:rPr>
          <w:szCs w:val="26"/>
        </w:rPr>
      </w:pPr>
      <w:r>
        <w:rPr>
          <w:szCs w:val="26"/>
        </w:rPr>
        <w:t xml:space="preserve">Section </w:t>
      </w:r>
      <w:proofErr w:type="gramStart"/>
      <w:r>
        <w:rPr>
          <w:szCs w:val="26"/>
        </w:rPr>
        <w:t>B(</w:t>
      </w:r>
      <w:proofErr w:type="gramEnd"/>
      <w:r>
        <w:rPr>
          <w:szCs w:val="26"/>
        </w:rPr>
        <w:t>5)- Change “</w:t>
      </w:r>
      <w:r>
        <w:t>thirty one (31)” to “forty one (41)”</w:t>
      </w:r>
    </w:p>
    <w:p w14:paraId="7547A233" w14:textId="75387F49" w:rsidR="004F7EFE" w:rsidRDefault="009534FA">
      <w:pPr>
        <w:pStyle w:val="BodyText0"/>
        <w:numPr>
          <w:ilvl w:val="2"/>
          <w:numId w:val="9"/>
        </w:numPr>
        <w:rPr>
          <w:szCs w:val="26"/>
        </w:rPr>
      </w:pPr>
      <w:r>
        <w:t xml:space="preserve">Section B(6)- </w:t>
      </w:r>
      <w:r>
        <w:rPr>
          <w:szCs w:val="26"/>
        </w:rPr>
        <w:t>Change “</w:t>
      </w:r>
      <w:r>
        <w:t>thirty (30)” to “fo</w:t>
      </w:r>
      <w:r>
        <w:t>rty (40)”</w:t>
      </w:r>
    </w:p>
    <w:p w14:paraId="1FB484C1" w14:textId="11627F86" w:rsidR="004F7EFE" w:rsidRDefault="009534FA">
      <w:pPr>
        <w:pStyle w:val="BodyText0"/>
        <w:numPr>
          <w:ilvl w:val="0"/>
          <w:numId w:val="9"/>
        </w:numPr>
        <w:rPr>
          <w:szCs w:val="26"/>
        </w:rPr>
      </w:pPr>
      <w:r>
        <w:rPr>
          <w:szCs w:val="26"/>
        </w:rPr>
        <w:t>All other terms and conditions of the 2020-2021 Collective Bargaining Agreement, except as modified herein, shall remain unchanged in the successor Collective Bargaining Agreement.</w:t>
      </w:r>
    </w:p>
    <w:p w14:paraId="6B55AB6A" w14:textId="77777777" w:rsidR="004F7EFE" w:rsidRDefault="009534FA">
      <w:pPr>
        <w:pStyle w:val="BodyText0"/>
        <w:rPr>
          <w:szCs w:val="26"/>
        </w:rPr>
      </w:pPr>
      <w:r>
        <w:rPr>
          <w:szCs w:val="26"/>
        </w:rPr>
        <w:t>Date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4F7EFE" w14:paraId="1C67B608" w14:textId="77777777">
        <w:tc>
          <w:tcPr>
            <w:tcW w:w="4788" w:type="dxa"/>
          </w:tcPr>
          <w:p w14:paraId="509DF067" w14:textId="77777777" w:rsidR="004F7EFE" w:rsidRDefault="009534FA">
            <w:pPr>
              <w:pStyle w:val="TableHeading"/>
            </w:pPr>
            <w:r>
              <w:t>For the District</w:t>
            </w:r>
          </w:p>
        </w:tc>
        <w:tc>
          <w:tcPr>
            <w:tcW w:w="4788" w:type="dxa"/>
          </w:tcPr>
          <w:p w14:paraId="561C72AA" w14:textId="77777777" w:rsidR="004F7EFE" w:rsidRDefault="009534FA">
            <w:pPr>
              <w:pStyle w:val="TableHeading"/>
            </w:pPr>
            <w:r>
              <w:t>For the SFA</w:t>
            </w:r>
          </w:p>
        </w:tc>
      </w:tr>
      <w:tr w:rsidR="004F7EFE" w14:paraId="1452D31D" w14:textId="77777777">
        <w:tc>
          <w:tcPr>
            <w:tcW w:w="4788" w:type="dxa"/>
          </w:tcPr>
          <w:p w14:paraId="51BF1551" w14:textId="77777777" w:rsidR="004F7EFE" w:rsidRDefault="004F7EFE">
            <w:pPr>
              <w:pStyle w:val="BodyText0"/>
              <w:rPr>
                <w:szCs w:val="26"/>
              </w:rPr>
            </w:pPr>
          </w:p>
        </w:tc>
        <w:tc>
          <w:tcPr>
            <w:tcW w:w="4788" w:type="dxa"/>
          </w:tcPr>
          <w:p w14:paraId="2AA1980C" w14:textId="77777777" w:rsidR="004F7EFE" w:rsidRDefault="004F7EFE">
            <w:pPr>
              <w:pStyle w:val="BodyText0"/>
              <w:rPr>
                <w:szCs w:val="26"/>
              </w:rPr>
            </w:pPr>
          </w:p>
        </w:tc>
      </w:tr>
      <w:tr w:rsidR="004F7EFE" w14:paraId="194E0C97" w14:textId="77777777">
        <w:tc>
          <w:tcPr>
            <w:tcW w:w="4788" w:type="dxa"/>
          </w:tcPr>
          <w:p w14:paraId="4879AF57" w14:textId="77777777" w:rsidR="004F7EFE" w:rsidRDefault="004F7EFE">
            <w:pPr>
              <w:pStyle w:val="BodyText0"/>
              <w:rPr>
                <w:szCs w:val="26"/>
              </w:rPr>
            </w:pPr>
          </w:p>
        </w:tc>
        <w:tc>
          <w:tcPr>
            <w:tcW w:w="4788" w:type="dxa"/>
          </w:tcPr>
          <w:p w14:paraId="7F487218" w14:textId="77777777" w:rsidR="004F7EFE" w:rsidRDefault="004F7EFE">
            <w:pPr>
              <w:pStyle w:val="BodyText0"/>
              <w:rPr>
                <w:szCs w:val="26"/>
              </w:rPr>
            </w:pPr>
          </w:p>
        </w:tc>
      </w:tr>
      <w:tr w:rsidR="004F7EFE" w14:paraId="68F4145D" w14:textId="77777777">
        <w:tc>
          <w:tcPr>
            <w:tcW w:w="4788" w:type="dxa"/>
          </w:tcPr>
          <w:p w14:paraId="6245B8B9" w14:textId="77777777" w:rsidR="004F7EFE" w:rsidRDefault="004F7EFE">
            <w:pPr>
              <w:pStyle w:val="BodyText0"/>
              <w:rPr>
                <w:szCs w:val="26"/>
              </w:rPr>
            </w:pPr>
          </w:p>
        </w:tc>
        <w:tc>
          <w:tcPr>
            <w:tcW w:w="4788" w:type="dxa"/>
          </w:tcPr>
          <w:p w14:paraId="27CC7011" w14:textId="77777777" w:rsidR="004F7EFE" w:rsidRDefault="004F7EFE">
            <w:pPr>
              <w:pStyle w:val="BodyText0"/>
              <w:rPr>
                <w:szCs w:val="26"/>
              </w:rPr>
            </w:pPr>
          </w:p>
        </w:tc>
      </w:tr>
      <w:tr w:rsidR="004F7EFE" w14:paraId="20E1E54B" w14:textId="77777777">
        <w:tc>
          <w:tcPr>
            <w:tcW w:w="4788" w:type="dxa"/>
          </w:tcPr>
          <w:p w14:paraId="76BE2BF8" w14:textId="77777777" w:rsidR="004F7EFE" w:rsidRDefault="004F7EFE">
            <w:pPr>
              <w:pStyle w:val="BodyText0"/>
              <w:rPr>
                <w:szCs w:val="26"/>
              </w:rPr>
            </w:pPr>
          </w:p>
        </w:tc>
        <w:tc>
          <w:tcPr>
            <w:tcW w:w="4788" w:type="dxa"/>
          </w:tcPr>
          <w:p w14:paraId="78A9B06B" w14:textId="77777777" w:rsidR="004F7EFE" w:rsidRDefault="004F7EFE">
            <w:pPr>
              <w:pStyle w:val="BodyText0"/>
              <w:rPr>
                <w:szCs w:val="26"/>
              </w:rPr>
            </w:pPr>
          </w:p>
        </w:tc>
      </w:tr>
      <w:tr w:rsidR="004F7EFE" w14:paraId="3B6AA555" w14:textId="77777777">
        <w:tc>
          <w:tcPr>
            <w:tcW w:w="4788" w:type="dxa"/>
          </w:tcPr>
          <w:p w14:paraId="152641CB" w14:textId="77777777" w:rsidR="004F7EFE" w:rsidRDefault="004F7EFE">
            <w:pPr>
              <w:pStyle w:val="BodyText0"/>
              <w:rPr>
                <w:szCs w:val="26"/>
              </w:rPr>
            </w:pPr>
          </w:p>
        </w:tc>
        <w:tc>
          <w:tcPr>
            <w:tcW w:w="4788" w:type="dxa"/>
          </w:tcPr>
          <w:p w14:paraId="77B6D086" w14:textId="77777777" w:rsidR="004F7EFE" w:rsidRDefault="004F7EFE">
            <w:pPr>
              <w:pStyle w:val="BodyText0"/>
              <w:rPr>
                <w:szCs w:val="26"/>
              </w:rPr>
            </w:pPr>
          </w:p>
        </w:tc>
      </w:tr>
    </w:tbl>
    <w:p w14:paraId="05558314" w14:textId="77777777" w:rsidR="004F7EFE" w:rsidRDefault="004F7EFE">
      <w:pPr>
        <w:pStyle w:val="BodyText0"/>
      </w:pPr>
    </w:p>
    <w:p w14:paraId="3C923789" w14:textId="77777777" w:rsidR="004F7EFE" w:rsidRDefault="004F7EFE">
      <w:pPr>
        <w:pStyle w:val="BodyText5"/>
        <w:ind w:left="360" w:firstLine="0"/>
        <w:rPr>
          <w:szCs w:val="26"/>
        </w:rPr>
      </w:pPr>
    </w:p>
    <w:p w14:paraId="23338A93" w14:textId="77777777" w:rsidR="004F7EFE" w:rsidRDefault="004F7EFE">
      <w:pPr>
        <w:pStyle w:val="BodyText5"/>
        <w:ind w:left="360" w:firstLine="0"/>
        <w:rPr>
          <w:szCs w:val="26"/>
        </w:rPr>
      </w:pPr>
    </w:p>
    <w:sectPr w:rsidR="004F7E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B425C" w14:textId="77777777" w:rsidR="009534FA" w:rsidRDefault="009534FA" w:rsidP="005F24B2">
      <w:pPr>
        <w:spacing w:after="0" w:line="240" w:lineRule="auto"/>
      </w:pPr>
      <w:r>
        <w:separator/>
      </w:r>
    </w:p>
  </w:endnote>
  <w:endnote w:type="continuationSeparator" w:id="0">
    <w:p w14:paraId="577E393F" w14:textId="77777777" w:rsidR="009534FA" w:rsidRDefault="009534FA" w:rsidP="005F2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F1BEB" w14:textId="77777777" w:rsidR="00331BF8" w:rsidRDefault="00331BF8" w:rsidP="00331BF8">
    <w:pPr>
      <w:pStyle w:val="Footer"/>
    </w:pPr>
  </w:p>
  <w:p w14:paraId="730E32AF" w14:textId="25E67322" w:rsidR="005F24B2" w:rsidRPr="00331BF8" w:rsidRDefault="00331BF8" w:rsidP="00331BF8">
    <w:pPr>
      <w:pStyle w:val="Footer0"/>
    </w:pPr>
    <w:r>
      <w:tab/>
      <w:t>-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09E78" w14:textId="77777777" w:rsidR="00331BF8" w:rsidRDefault="00331BF8" w:rsidP="00331BF8">
    <w:pPr>
      <w:pStyle w:val="Footer"/>
    </w:pPr>
  </w:p>
  <w:p w14:paraId="679F8C9B" w14:textId="607FFB9D" w:rsidR="005F24B2" w:rsidRPr="00331BF8" w:rsidRDefault="00331BF8" w:rsidP="00331BF8">
    <w:pPr>
      <w:pStyle w:val="Footer0"/>
    </w:pPr>
    <w:r>
      <w:tab/>
      <w:t>-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BBDF5" w14:textId="77777777" w:rsidR="00331BF8" w:rsidRDefault="00331BF8" w:rsidP="00331BF8">
    <w:pPr>
      <w:pStyle w:val="Footer"/>
    </w:pPr>
  </w:p>
  <w:p w14:paraId="4968E44C" w14:textId="2B8B8215" w:rsidR="005F24B2" w:rsidRPr="00331BF8" w:rsidRDefault="00331BF8" w:rsidP="00331BF8">
    <w:pPr>
      <w:pStyle w:val="Footer0"/>
    </w:pPr>
    <w:r>
      <w:tab/>
      <w:t>-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F1CC5" w14:textId="77777777" w:rsidR="009534FA" w:rsidRDefault="009534FA" w:rsidP="005F24B2">
      <w:pPr>
        <w:spacing w:after="0" w:line="240" w:lineRule="auto"/>
      </w:pPr>
      <w:r>
        <w:separator/>
      </w:r>
    </w:p>
  </w:footnote>
  <w:footnote w:type="continuationSeparator" w:id="0">
    <w:p w14:paraId="0AAE1C50" w14:textId="77777777" w:rsidR="009534FA" w:rsidRDefault="009534FA" w:rsidP="005F2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40D98" w14:textId="77777777" w:rsidR="005F24B2" w:rsidRDefault="005F24B2">
    <w:pPr>
      <w:pStyle w:val="Header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5F0C2" w14:textId="77777777" w:rsidR="005F24B2" w:rsidRDefault="005F24B2">
    <w:pPr>
      <w:pStyle w:val="Header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73027" w14:textId="77777777" w:rsidR="005F24B2" w:rsidRDefault="005F24B2">
    <w:pPr>
      <w:pStyle w:val="Header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D2BE1"/>
    <w:multiLevelType w:val="hybridMultilevel"/>
    <w:tmpl w:val="F6A84A14"/>
    <w:lvl w:ilvl="0" w:tplc="B308D4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352582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5FAEEA2A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AA6733"/>
    <w:multiLevelType w:val="hybridMultilevel"/>
    <w:tmpl w:val="9F3642FC"/>
    <w:lvl w:ilvl="0" w:tplc="14A6696A">
      <w:start w:val="1"/>
      <w:numFmt w:val="bullet"/>
      <w:pStyle w:val="BlockIndentBullet"/>
      <w:lvlText w:val=""/>
      <w:lvlJc w:val="left"/>
      <w:pPr>
        <w:tabs>
          <w:tab w:val="num" w:pos="36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FCF3709"/>
    <w:multiLevelType w:val="multilevel"/>
    <w:tmpl w:val="B7E6A89A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F4688C"/>
    <w:multiLevelType w:val="hybridMultilevel"/>
    <w:tmpl w:val="E28234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BB71AB"/>
    <w:multiLevelType w:val="hybridMultilevel"/>
    <w:tmpl w:val="E27C3E3E"/>
    <w:lvl w:ilvl="0" w:tplc="0BF6179A">
      <w:start w:val="1"/>
      <w:numFmt w:val="decimal"/>
      <w:pStyle w:val="bodytextnumbered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0033EA"/>
    <w:multiLevelType w:val="multilevel"/>
    <w:tmpl w:val="D1566648"/>
    <w:lvl w:ilvl="0">
      <w:start w:val="1"/>
      <w:numFmt w:val="ordinalText"/>
      <w:pStyle w:val="Will1"/>
      <w:suff w:val="nothing"/>
      <w:lvlText w:val="%1:   "/>
      <w:lvlJc w:val="left"/>
      <w:pPr>
        <w:ind w:left="0" w:firstLine="720"/>
      </w:pPr>
      <w:rPr>
        <w:rFonts w:hint="default"/>
        <w:b/>
        <w:i w:val="0"/>
        <w:caps/>
      </w:rPr>
    </w:lvl>
    <w:lvl w:ilvl="1">
      <w:start w:val="1"/>
      <w:numFmt w:val="upperLetter"/>
      <w:pStyle w:val="Will2"/>
      <w:lvlText w:val="(%2)"/>
      <w:lvlJc w:val="left"/>
      <w:pPr>
        <w:ind w:left="0" w:firstLine="1440"/>
      </w:pPr>
      <w:rPr>
        <w:rFonts w:hint="default"/>
      </w:rPr>
    </w:lvl>
    <w:lvl w:ilvl="2">
      <w:start w:val="1"/>
      <w:numFmt w:val="decimal"/>
      <w:pStyle w:val="Will3"/>
      <w:lvlText w:val="(%3)"/>
      <w:lvlJc w:val="left"/>
      <w:pPr>
        <w:ind w:left="0" w:firstLine="2160"/>
      </w:pPr>
      <w:rPr>
        <w:rFonts w:hint="default"/>
      </w:rPr>
    </w:lvl>
    <w:lvl w:ilvl="3">
      <w:start w:val="1"/>
      <w:numFmt w:val="lowerLetter"/>
      <w:pStyle w:val="Will4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lowerRoman"/>
      <w:pStyle w:val="Will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09E2B36"/>
    <w:multiLevelType w:val="hybridMultilevel"/>
    <w:tmpl w:val="16E6ED16"/>
    <w:lvl w:ilvl="0" w:tplc="96D84CD4">
      <w:start w:val="1"/>
      <w:numFmt w:val="bullet"/>
      <w:pStyle w:val="Bodytex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83ACB"/>
    <w:multiLevelType w:val="multilevel"/>
    <w:tmpl w:val="D89A487A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C727F87"/>
    <w:multiLevelType w:val="multilevel"/>
    <w:tmpl w:val="F3661C56"/>
    <w:lvl w:ilvl="0">
      <w:start w:val="6"/>
      <w:numFmt w:val="ordinalText"/>
      <w:pStyle w:val="Willnumbering"/>
      <w:lvlText w:val="%1:"/>
      <w:lvlJc w:val="left"/>
      <w:pPr>
        <w:tabs>
          <w:tab w:val="num" w:pos="1800"/>
        </w:tabs>
        <w:ind w:left="0" w:firstLine="720"/>
      </w:pPr>
      <w:rPr>
        <w:b/>
        <w:i w:val="0"/>
        <w:caps/>
      </w:rPr>
    </w:lvl>
    <w:lvl w:ilvl="1">
      <w:start w:val="1"/>
      <w:numFmt w:val="upperLetter"/>
      <w:lvlText w:val="(%2)   "/>
      <w:lvlJc w:val="left"/>
      <w:pPr>
        <w:tabs>
          <w:tab w:val="num" w:pos="2160"/>
        </w:tabs>
        <w:ind w:left="0" w:firstLine="1440"/>
      </w:pPr>
    </w:lvl>
    <w:lvl w:ilvl="2">
      <w:start w:val="1"/>
      <w:numFmt w:val="decimal"/>
      <w:lvlText w:val="(%3)"/>
      <w:lvlJc w:val="left"/>
      <w:pPr>
        <w:tabs>
          <w:tab w:val="num" w:pos="2520"/>
        </w:tabs>
        <w:ind w:left="0" w:firstLine="2160"/>
      </w:pPr>
      <w:rPr>
        <w:rFonts w:hint="default"/>
      </w:rPr>
    </w:lvl>
    <w:lvl w:ilvl="3">
      <w:start w:val="1"/>
      <w:numFmt w:val="lowerLetter"/>
      <w:lvlText w:val="(%4)   "/>
      <w:lvlJc w:val="left"/>
      <w:pPr>
        <w:tabs>
          <w:tab w:val="num" w:pos="3600"/>
        </w:tabs>
        <w:ind w:left="0" w:firstLine="28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7D2F4C39"/>
    <w:multiLevelType w:val="multilevel"/>
    <w:tmpl w:val="DFBE4100"/>
    <w:lvl w:ilvl="0">
      <w:start w:val="1"/>
      <w:numFmt w:val="upperRoman"/>
      <w:pStyle w:val="Heading1"/>
      <w:lvlText w:val="%1.  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Roman"/>
      <w:pStyle w:val="Heading2"/>
      <w:suff w:val="nothing"/>
      <w:lvlText w:val="Point %2"/>
      <w:lvlJc w:val="left"/>
      <w:pPr>
        <w:ind w:left="0" w:firstLine="0"/>
      </w:pPr>
      <w:rPr>
        <w:rFonts w:ascii="Garamond" w:hAnsi="Garamond" w:hint="default"/>
        <w:b/>
        <w:i w:val="0"/>
        <w:sz w:val="26"/>
        <w:szCs w:val="26"/>
        <w:u w:val="single"/>
      </w:rPr>
    </w:lvl>
    <w:lvl w:ilvl="2">
      <w:start w:val="1"/>
      <w:numFmt w:val="upperLetter"/>
      <w:pStyle w:val="Heading3"/>
      <w:lvlText w:val="%3.  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decimal"/>
      <w:pStyle w:val="Heading7"/>
      <w:lvlText w:val="(%7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8">
      <w:start w:val="1"/>
      <w:numFmt w:val="lowerRoman"/>
      <w:pStyle w:val="Heading9"/>
      <w:lvlText w:val="(%9)"/>
      <w:lvlJc w:val="right"/>
      <w:pPr>
        <w:tabs>
          <w:tab w:val="num" w:pos="5040"/>
        </w:tabs>
        <w:ind w:left="5040" w:hanging="72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BE9"/>
    <w:rsid w:val="000163A3"/>
    <w:rsid w:val="00041BEB"/>
    <w:rsid w:val="00080763"/>
    <w:rsid w:val="0019226C"/>
    <w:rsid w:val="001927C1"/>
    <w:rsid w:val="001A29BA"/>
    <w:rsid w:val="0026611C"/>
    <w:rsid w:val="002803E2"/>
    <w:rsid w:val="00293E09"/>
    <w:rsid w:val="002A3DF4"/>
    <w:rsid w:val="002A513D"/>
    <w:rsid w:val="002B6D00"/>
    <w:rsid w:val="002E0279"/>
    <w:rsid w:val="00331BF8"/>
    <w:rsid w:val="00370FD7"/>
    <w:rsid w:val="00440245"/>
    <w:rsid w:val="00473C4A"/>
    <w:rsid w:val="004F7EFE"/>
    <w:rsid w:val="00530928"/>
    <w:rsid w:val="00533F57"/>
    <w:rsid w:val="005A59F1"/>
    <w:rsid w:val="005A7ADF"/>
    <w:rsid w:val="005F24B2"/>
    <w:rsid w:val="00682A1F"/>
    <w:rsid w:val="006B10B9"/>
    <w:rsid w:val="006B79F8"/>
    <w:rsid w:val="00712E75"/>
    <w:rsid w:val="00753212"/>
    <w:rsid w:val="007B2FD2"/>
    <w:rsid w:val="007D7032"/>
    <w:rsid w:val="0082505A"/>
    <w:rsid w:val="00892335"/>
    <w:rsid w:val="008C7382"/>
    <w:rsid w:val="00924705"/>
    <w:rsid w:val="009534FA"/>
    <w:rsid w:val="009F1EED"/>
    <w:rsid w:val="00A22F9B"/>
    <w:rsid w:val="00AC5A02"/>
    <w:rsid w:val="00AD4AF5"/>
    <w:rsid w:val="00AE67C8"/>
    <w:rsid w:val="00B14C74"/>
    <w:rsid w:val="00B562AE"/>
    <w:rsid w:val="00B828EE"/>
    <w:rsid w:val="00C56C81"/>
    <w:rsid w:val="00C737F5"/>
    <w:rsid w:val="00DA490E"/>
    <w:rsid w:val="00DB10DB"/>
    <w:rsid w:val="00EA2926"/>
    <w:rsid w:val="00EB4077"/>
    <w:rsid w:val="00F362CF"/>
    <w:rsid w:val="00F47C7C"/>
    <w:rsid w:val="00F73BE9"/>
    <w:rsid w:val="00F84C1B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585A2"/>
  <w15:chartTrackingRefBased/>
  <w15:docId w15:val="{C6FA78BC-097D-4A96-A25F-6C551A15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9F8"/>
    <w:pPr>
      <w:spacing w:after="200" w:line="276" w:lineRule="auto"/>
    </w:pPr>
    <w:rPr>
      <w:rFonts w:ascii="Garamond" w:hAnsi="Garamond"/>
      <w:sz w:val="26"/>
    </w:rPr>
  </w:style>
  <w:style w:type="paragraph" w:styleId="Heading1">
    <w:name w:val="heading 1"/>
    <w:basedOn w:val="Normal"/>
    <w:next w:val="BodyText5"/>
    <w:link w:val="Heading1Char"/>
    <w:qFormat/>
    <w:rsid w:val="006B79F8"/>
    <w:pPr>
      <w:keepNext/>
      <w:numPr>
        <w:numId w:val="6"/>
      </w:numPr>
      <w:spacing w:before="240" w:after="240" w:line="240" w:lineRule="auto"/>
      <w:outlineLvl w:val="0"/>
    </w:pPr>
    <w:rPr>
      <w:rFonts w:eastAsia="Times New Roman" w:cs="Times New Roman"/>
      <w:b/>
      <w:caps/>
      <w:szCs w:val="20"/>
    </w:rPr>
  </w:style>
  <w:style w:type="paragraph" w:styleId="Heading2">
    <w:name w:val="heading 2"/>
    <w:basedOn w:val="Heading1"/>
    <w:next w:val="BodyText5"/>
    <w:link w:val="Heading2Char"/>
    <w:qFormat/>
    <w:rsid w:val="006B79F8"/>
    <w:pPr>
      <w:numPr>
        <w:ilvl w:val="1"/>
      </w:numPr>
      <w:jc w:val="center"/>
      <w:outlineLvl w:val="1"/>
    </w:pPr>
  </w:style>
  <w:style w:type="paragraph" w:styleId="Heading3">
    <w:name w:val="heading 3"/>
    <w:basedOn w:val="Heading2"/>
    <w:next w:val="BodyText5"/>
    <w:link w:val="Heading3Char"/>
    <w:qFormat/>
    <w:rsid w:val="006B79F8"/>
    <w:pPr>
      <w:numPr>
        <w:ilvl w:val="2"/>
      </w:numPr>
      <w:ind w:right="4320"/>
      <w:jc w:val="left"/>
      <w:outlineLvl w:val="2"/>
    </w:pPr>
    <w:rPr>
      <w:caps w:val="0"/>
    </w:rPr>
  </w:style>
  <w:style w:type="paragraph" w:styleId="Heading4">
    <w:name w:val="heading 4"/>
    <w:basedOn w:val="Heading1"/>
    <w:next w:val="BodyText5"/>
    <w:link w:val="Heading4Char"/>
    <w:qFormat/>
    <w:rsid w:val="006B79F8"/>
    <w:pPr>
      <w:numPr>
        <w:ilvl w:val="3"/>
      </w:numPr>
      <w:ind w:right="3600"/>
      <w:outlineLvl w:val="3"/>
    </w:pPr>
    <w:rPr>
      <w:caps w:val="0"/>
    </w:rPr>
  </w:style>
  <w:style w:type="paragraph" w:styleId="Heading5">
    <w:name w:val="heading 5"/>
    <w:basedOn w:val="Normal"/>
    <w:next w:val="BodyText5"/>
    <w:link w:val="Heading5Char"/>
    <w:qFormat/>
    <w:rsid w:val="006B79F8"/>
    <w:pPr>
      <w:numPr>
        <w:ilvl w:val="4"/>
        <w:numId w:val="6"/>
      </w:numPr>
      <w:spacing w:before="240" w:after="60" w:line="240" w:lineRule="auto"/>
      <w:jc w:val="both"/>
      <w:outlineLvl w:val="4"/>
    </w:pPr>
  </w:style>
  <w:style w:type="paragraph" w:styleId="Heading6">
    <w:name w:val="heading 6"/>
    <w:basedOn w:val="Normal"/>
    <w:next w:val="BodyText5"/>
    <w:link w:val="Heading6Char"/>
    <w:qFormat/>
    <w:rsid w:val="006B79F8"/>
    <w:pPr>
      <w:numPr>
        <w:ilvl w:val="5"/>
        <w:numId w:val="6"/>
      </w:numPr>
      <w:spacing w:before="240" w:after="60" w:line="240" w:lineRule="auto"/>
      <w:jc w:val="both"/>
      <w:outlineLvl w:val="5"/>
    </w:pPr>
  </w:style>
  <w:style w:type="paragraph" w:styleId="Heading7">
    <w:name w:val="heading 7"/>
    <w:basedOn w:val="Normal"/>
    <w:next w:val="BodyText5"/>
    <w:link w:val="Heading7Char"/>
    <w:qFormat/>
    <w:rsid w:val="006B79F8"/>
    <w:pPr>
      <w:numPr>
        <w:ilvl w:val="6"/>
        <w:numId w:val="6"/>
      </w:numPr>
      <w:spacing w:before="240" w:after="60" w:line="240" w:lineRule="auto"/>
      <w:jc w:val="both"/>
      <w:outlineLvl w:val="6"/>
    </w:pPr>
  </w:style>
  <w:style w:type="paragraph" w:styleId="Heading8">
    <w:name w:val="heading 8"/>
    <w:basedOn w:val="Normal"/>
    <w:next w:val="BodyText5"/>
    <w:link w:val="Heading8Char"/>
    <w:qFormat/>
    <w:rsid w:val="006B79F8"/>
    <w:pPr>
      <w:numPr>
        <w:ilvl w:val="7"/>
        <w:numId w:val="6"/>
      </w:numPr>
      <w:spacing w:before="240" w:after="60" w:line="240" w:lineRule="auto"/>
      <w:jc w:val="both"/>
      <w:outlineLvl w:val="7"/>
    </w:pPr>
  </w:style>
  <w:style w:type="paragraph" w:styleId="Heading9">
    <w:name w:val="heading 9"/>
    <w:basedOn w:val="Normal"/>
    <w:next w:val="BodyText5"/>
    <w:link w:val="Heading9Char"/>
    <w:qFormat/>
    <w:rsid w:val="006B79F8"/>
    <w:pPr>
      <w:numPr>
        <w:ilvl w:val="8"/>
        <w:numId w:val="6"/>
      </w:numPr>
      <w:spacing w:before="240" w:after="60" w:line="240" w:lineRule="auto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79F8"/>
    <w:rPr>
      <w:rFonts w:ascii="Garamond" w:eastAsia="Times New Roman" w:hAnsi="Garamond" w:cs="Times New Roman"/>
      <w:b/>
      <w:caps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6B79F8"/>
    <w:rPr>
      <w:rFonts w:ascii="Garamond" w:eastAsia="Times New Roman" w:hAnsi="Garamond" w:cs="Times New Roman"/>
      <w:b/>
      <w:caps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6B79F8"/>
    <w:rPr>
      <w:rFonts w:ascii="Garamond" w:eastAsia="Times New Roman" w:hAnsi="Garamond" w:cs="Times New Roman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6B79F8"/>
    <w:rPr>
      <w:rFonts w:ascii="Garamond" w:eastAsia="Times New Roman" w:hAnsi="Garamond" w:cs="Times New Roman"/>
      <w:b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6B79F8"/>
    <w:rPr>
      <w:rFonts w:ascii="Garamond" w:hAnsi="Garamond"/>
      <w:sz w:val="26"/>
    </w:rPr>
  </w:style>
  <w:style w:type="character" w:customStyle="1" w:styleId="Heading6Char">
    <w:name w:val="Heading 6 Char"/>
    <w:basedOn w:val="DefaultParagraphFont"/>
    <w:link w:val="Heading6"/>
    <w:rsid w:val="006B79F8"/>
    <w:rPr>
      <w:rFonts w:ascii="Garamond" w:hAnsi="Garamond"/>
      <w:sz w:val="26"/>
    </w:rPr>
  </w:style>
  <w:style w:type="character" w:customStyle="1" w:styleId="Heading7Char">
    <w:name w:val="Heading 7 Char"/>
    <w:basedOn w:val="DefaultParagraphFont"/>
    <w:link w:val="Heading7"/>
    <w:rsid w:val="006B79F8"/>
    <w:rPr>
      <w:rFonts w:ascii="Garamond" w:hAnsi="Garamond"/>
      <w:sz w:val="26"/>
    </w:rPr>
  </w:style>
  <w:style w:type="character" w:customStyle="1" w:styleId="Heading8Char">
    <w:name w:val="Heading 8 Char"/>
    <w:basedOn w:val="DefaultParagraphFont"/>
    <w:link w:val="Heading8"/>
    <w:rsid w:val="006B79F8"/>
    <w:rPr>
      <w:rFonts w:ascii="Garamond" w:hAnsi="Garamond"/>
      <w:sz w:val="26"/>
    </w:rPr>
  </w:style>
  <w:style w:type="character" w:customStyle="1" w:styleId="Heading9Char">
    <w:name w:val="Heading 9 Char"/>
    <w:basedOn w:val="DefaultParagraphFont"/>
    <w:link w:val="Heading9"/>
    <w:rsid w:val="006B79F8"/>
    <w:rPr>
      <w:rFonts w:ascii="Garamond" w:hAnsi="Garamond"/>
      <w:sz w:val="26"/>
    </w:rPr>
  </w:style>
  <w:style w:type="paragraph" w:customStyle="1" w:styleId="BodyText0">
    <w:name w:val="!Body Text (0)"/>
    <w:aliases w:val="bt"/>
    <w:basedOn w:val="Normal"/>
    <w:rsid w:val="006B79F8"/>
    <w:pPr>
      <w:spacing w:after="0" w:line="480" w:lineRule="auto"/>
      <w:jc w:val="both"/>
    </w:pPr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473C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73C4A"/>
    <w:rPr>
      <w:rFonts w:ascii="Garamond" w:hAnsi="Garamond"/>
      <w:sz w:val="26"/>
    </w:rPr>
  </w:style>
  <w:style w:type="paragraph" w:customStyle="1" w:styleId="BodyText5">
    <w:name w:val="!Body Text (.5)"/>
    <w:aliases w:val="bt1"/>
    <w:basedOn w:val="BodyText0"/>
    <w:link w:val="BodyText5Char"/>
    <w:rsid w:val="006B79F8"/>
    <w:pPr>
      <w:ind w:firstLine="720"/>
    </w:pPr>
  </w:style>
  <w:style w:type="character" w:customStyle="1" w:styleId="BodyText5Char">
    <w:name w:val="!Body Text (.5) Char"/>
    <w:aliases w:val="bt1 Char"/>
    <w:basedOn w:val="DefaultParagraphFont"/>
    <w:link w:val="BodyText5"/>
    <w:rsid w:val="006B79F8"/>
    <w:rPr>
      <w:rFonts w:ascii="Garamond" w:eastAsia="Times New Roman" w:hAnsi="Garamond" w:cs="Times New Roman"/>
      <w:sz w:val="26"/>
      <w:szCs w:val="20"/>
    </w:rPr>
  </w:style>
  <w:style w:type="paragraph" w:customStyle="1" w:styleId="BodyText1">
    <w:name w:val="!Body Text (1)"/>
    <w:aliases w:val="bt2"/>
    <w:basedOn w:val="BodyText0"/>
    <w:rsid w:val="006B79F8"/>
    <w:pPr>
      <w:ind w:firstLine="1440"/>
    </w:pPr>
  </w:style>
  <w:style w:type="paragraph" w:customStyle="1" w:styleId="BlockIndent">
    <w:name w:val="!Block Indent"/>
    <w:aliases w:val="bi"/>
    <w:basedOn w:val="Normal"/>
    <w:rsid w:val="006B79F8"/>
    <w:pPr>
      <w:spacing w:after="240"/>
      <w:ind w:left="1440" w:right="1440"/>
      <w:jc w:val="both"/>
    </w:pPr>
  </w:style>
  <w:style w:type="paragraph" w:customStyle="1" w:styleId="captionline">
    <w:name w:val="!caption line"/>
    <w:aliases w:val="cl"/>
    <w:basedOn w:val="Normal"/>
    <w:rsid w:val="00473C4A"/>
    <w:pPr>
      <w:tabs>
        <w:tab w:val="right" w:leader="hyphen" w:pos="5850"/>
      </w:tabs>
      <w:spacing w:after="0" w:line="160" w:lineRule="exact"/>
      <w:ind w:right="346"/>
    </w:pPr>
    <w:rPr>
      <w:rFonts w:eastAsia="Times New Roman" w:cs="Times New Roman"/>
      <w:szCs w:val="20"/>
    </w:rPr>
  </w:style>
  <w:style w:type="paragraph" w:customStyle="1" w:styleId="Exception">
    <w:name w:val="!Exception"/>
    <w:aliases w:val="ex"/>
    <w:basedOn w:val="Normal"/>
    <w:rsid w:val="006B79F8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Header">
    <w:name w:val="!Header"/>
    <w:aliases w:val="h"/>
    <w:basedOn w:val="Normal"/>
    <w:rsid w:val="00473C4A"/>
    <w:pPr>
      <w:spacing w:after="0" w:line="280" w:lineRule="exact"/>
      <w:jc w:val="center"/>
    </w:pPr>
    <w:rPr>
      <w:rFonts w:eastAsia="Times New Roman" w:cs="Times New Roman"/>
      <w:b/>
      <w:smallCaps/>
      <w:szCs w:val="20"/>
    </w:rPr>
  </w:style>
  <w:style w:type="paragraph" w:customStyle="1" w:styleId="FaxCompany">
    <w:name w:val="!Fax Company"/>
    <w:aliases w:val="fc"/>
    <w:basedOn w:val="FaxName"/>
    <w:rsid w:val="00473C4A"/>
    <w:rPr>
      <w:sz w:val="20"/>
    </w:rPr>
  </w:style>
  <w:style w:type="paragraph" w:customStyle="1" w:styleId="FaxException">
    <w:name w:val="!Fax Exception"/>
    <w:aliases w:val="fex"/>
    <w:basedOn w:val="Normal"/>
    <w:rsid w:val="00473C4A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FaxName">
    <w:name w:val="!Fax Name"/>
    <w:aliases w:val="fn"/>
    <w:basedOn w:val="Normal"/>
    <w:rsid w:val="00473C4A"/>
    <w:rPr>
      <w:b/>
      <w:sz w:val="28"/>
    </w:rPr>
  </w:style>
  <w:style w:type="paragraph" w:customStyle="1" w:styleId="FaxNameRight">
    <w:name w:val="!Fax Name Right"/>
    <w:aliases w:val="fnr"/>
    <w:basedOn w:val="FaxName"/>
    <w:rsid w:val="00473C4A"/>
    <w:pPr>
      <w:jc w:val="right"/>
    </w:pPr>
  </w:style>
  <w:style w:type="paragraph" w:customStyle="1" w:styleId="Footer">
    <w:name w:val="!Footer"/>
    <w:aliases w:val="fs"/>
    <w:basedOn w:val="Normal"/>
    <w:rsid w:val="00473C4A"/>
    <w:pPr>
      <w:tabs>
        <w:tab w:val="center" w:pos="4680"/>
      </w:tabs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LetterAddress">
    <w:name w:val="!Letter Address"/>
    <w:aliases w:val="la"/>
    <w:basedOn w:val="Normal"/>
    <w:rsid w:val="00473C4A"/>
    <w:pPr>
      <w:spacing w:before="240" w:after="0" w:line="240" w:lineRule="auto"/>
    </w:pPr>
    <w:rPr>
      <w:rFonts w:eastAsia="Times New Roman" w:cs="Times New Roman"/>
      <w:szCs w:val="20"/>
    </w:rPr>
  </w:style>
  <w:style w:type="paragraph" w:customStyle="1" w:styleId="Letterbcc">
    <w:name w:val="!Letter bcc"/>
    <w:aliases w:val="lbc"/>
    <w:basedOn w:val="LetterNotes"/>
    <w:rsid w:val="00473C4A"/>
    <w:pPr>
      <w:pageBreakBefore/>
    </w:pPr>
  </w:style>
  <w:style w:type="paragraph" w:customStyle="1" w:styleId="LetterClosing">
    <w:name w:val="!Letter Closing"/>
    <w:aliases w:val="lc"/>
    <w:basedOn w:val="Normal"/>
    <w:next w:val="Normal"/>
    <w:rsid w:val="00473C4A"/>
    <w:pPr>
      <w:tabs>
        <w:tab w:val="right" w:pos="4320"/>
      </w:tabs>
      <w:spacing w:before="360" w:after="0" w:line="240" w:lineRule="auto"/>
    </w:pPr>
    <w:rPr>
      <w:rFonts w:eastAsia="Times New Roman" w:cs="Times New Roman"/>
      <w:szCs w:val="20"/>
    </w:rPr>
  </w:style>
  <w:style w:type="paragraph" w:customStyle="1" w:styleId="LetterDate">
    <w:name w:val="!Letter Date"/>
    <w:aliases w:val="ld"/>
    <w:basedOn w:val="Normal"/>
    <w:rsid w:val="00473C4A"/>
    <w:pPr>
      <w:spacing w:before="1440" w:after="0" w:line="240" w:lineRule="auto"/>
    </w:pPr>
  </w:style>
  <w:style w:type="paragraph" w:customStyle="1" w:styleId="LetterException">
    <w:name w:val="!Letter Exception"/>
    <w:aliases w:val="lex"/>
    <w:basedOn w:val="Normal"/>
    <w:rsid w:val="00473C4A"/>
  </w:style>
  <w:style w:type="paragraph" w:customStyle="1" w:styleId="LetterInitials">
    <w:name w:val="!Letter Initials"/>
    <w:aliases w:val="li"/>
    <w:basedOn w:val="Normal"/>
    <w:rsid w:val="00473C4A"/>
    <w:pPr>
      <w:spacing w:before="240" w:after="0" w:line="240" w:lineRule="auto"/>
    </w:pPr>
    <w:rPr>
      <w:rFonts w:eastAsia="Times New Roman" w:cs="Times New Roman"/>
      <w:szCs w:val="20"/>
    </w:rPr>
  </w:style>
  <w:style w:type="paragraph" w:customStyle="1" w:styleId="LetterLAClosing">
    <w:name w:val="!Letter LAClosing"/>
    <w:aliases w:val="lac"/>
    <w:basedOn w:val="LetterClosing"/>
    <w:rsid w:val="00473C4A"/>
    <w:pPr>
      <w:spacing w:before="240"/>
    </w:pPr>
  </w:style>
  <w:style w:type="paragraph" w:customStyle="1" w:styleId="LetterLASigner">
    <w:name w:val="!Letter LASigner"/>
    <w:aliases w:val="las"/>
    <w:basedOn w:val="LetterSigner"/>
    <w:rsid w:val="00473C4A"/>
  </w:style>
  <w:style w:type="paragraph" w:customStyle="1" w:styleId="LetterMailType">
    <w:name w:val="!Letter Mail Type"/>
    <w:aliases w:val="lmt"/>
    <w:basedOn w:val="Normal"/>
    <w:rsid w:val="00473C4A"/>
    <w:pPr>
      <w:spacing w:after="240" w:line="240" w:lineRule="auto"/>
    </w:pPr>
    <w:rPr>
      <w:rFonts w:eastAsia="Times New Roman" w:cs="Times New Roman"/>
      <w:caps/>
      <w:szCs w:val="20"/>
    </w:rPr>
  </w:style>
  <w:style w:type="paragraph" w:customStyle="1" w:styleId="LetterNotes">
    <w:name w:val="!Letter Notes"/>
    <w:aliases w:val="ln"/>
    <w:basedOn w:val="Normal"/>
    <w:rsid w:val="00473C4A"/>
    <w:pPr>
      <w:tabs>
        <w:tab w:val="left" w:pos="720"/>
      </w:tabs>
      <w:ind w:left="720" w:hanging="720"/>
    </w:pPr>
  </w:style>
  <w:style w:type="paragraph" w:customStyle="1" w:styleId="LetterOpening">
    <w:name w:val="!Letter Opening"/>
    <w:aliases w:val="lo"/>
    <w:basedOn w:val="Normal"/>
    <w:rsid w:val="00473C4A"/>
    <w:pPr>
      <w:spacing w:before="240"/>
      <w:jc w:val="both"/>
    </w:pPr>
  </w:style>
  <w:style w:type="paragraph" w:customStyle="1" w:styleId="LetterSigner">
    <w:name w:val="!Letter Signer"/>
    <w:aliases w:val="ls"/>
    <w:basedOn w:val="Normal"/>
    <w:rsid w:val="00473C4A"/>
    <w:pPr>
      <w:tabs>
        <w:tab w:val="right" w:pos="4320"/>
      </w:tabs>
      <w:spacing w:before="720" w:after="0" w:line="240" w:lineRule="auto"/>
    </w:pPr>
    <w:rPr>
      <w:rFonts w:eastAsia="Times New Roman" w:cs="Times New Roman"/>
      <w:szCs w:val="20"/>
    </w:rPr>
  </w:style>
  <w:style w:type="paragraph" w:customStyle="1" w:styleId="MemoBody">
    <w:name w:val="!Memo Body"/>
    <w:aliases w:val="mb"/>
    <w:basedOn w:val="BodyText"/>
    <w:rsid w:val="00473C4A"/>
    <w:pPr>
      <w:spacing w:before="240"/>
      <w:ind w:firstLine="720"/>
      <w:jc w:val="both"/>
    </w:pPr>
  </w:style>
  <w:style w:type="paragraph" w:customStyle="1" w:styleId="Memocc">
    <w:name w:val="!Memo cc"/>
    <w:aliases w:val="mc"/>
    <w:basedOn w:val="MemoBody"/>
    <w:rsid w:val="00473C4A"/>
    <w:pPr>
      <w:ind w:left="720" w:hanging="720"/>
      <w:jc w:val="left"/>
    </w:pPr>
  </w:style>
  <w:style w:type="paragraph" w:customStyle="1" w:styleId="Memobcc">
    <w:name w:val="!Memo bcc"/>
    <w:aliases w:val="mbc"/>
    <w:basedOn w:val="Memocc"/>
    <w:rsid w:val="00473C4A"/>
    <w:pPr>
      <w:pageBreakBefore/>
    </w:pPr>
  </w:style>
  <w:style w:type="paragraph" w:customStyle="1" w:styleId="MemoException">
    <w:name w:val="!Memo Exception"/>
    <w:aliases w:val="mex"/>
    <w:basedOn w:val="Normal"/>
    <w:rsid w:val="00473C4A"/>
  </w:style>
  <w:style w:type="paragraph" w:customStyle="1" w:styleId="MemoHeading">
    <w:name w:val="!Memo Heading"/>
    <w:aliases w:val="mh"/>
    <w:basedOn w:val="Normal"/>
    <w:rsid w:val="00473C4A"/>
    <w:pPr>
      <w:pageBreakBefore/>
      <w:spacing w:before="1560" w:after="240"/>
      <w:jc w:val="center"/>
    </w:pPr>
    <w:rPr>
      <w:b/>
      <w:caps/>
      <w:spacing w:val="100"/>
      <w:sz w:val="32"/>
    </w:rPr>
  </w:style>
  <w:style w:type="paragraph" w:customStyle="1" w:styleId="MemoInfo">
    <w:name w:val="!Memo Info"/>
    <w:aliases w:val="mi"/>
    <w:basedOn w:val="Normal"/>
    <w:next w:val="MemoBody"/>
    <w:rsid w:val="00473C4A"/>
    <w:pPr>
      <w:pBdr>
        <w:bottom w:val="double" w:sz="6" w:space="21" w:color="auto"/>
      </w:pBdr>
      <w:tabs>
        <w:tab w:val="left" w:pos="1440"/>
      </w:tabs>
      <w:spacing w:before="240"/>
      <w:ind w:left="1440" w:hanging="1440"/>
    </w:pPr>
    <w:rPr>
      <w:b/>
    </w:rPr>
  </w:style>
  <w:style w:type="paragraph" w:customStyle="1" w:styleId="Tabletext">
    <w:name w:val="!Table text"/>
    <w:aliases w:val="tt"/>
    <w:basedOn w:val="Normal"/>
    <w:rsid w:val="006B79F8"/>
    <w:pPr>
      <w:spacing w:before="60" w:after="60" w:line="240" w:lineRule="auto"/>
    </w:pPr>
    <w:rPr>
      <w:rFonts w:eastAsia="Times New Roman" w:cs="Times New Roman"/>
      <w:szCs w:val="20"/>
    </w:rPr>
  </w:style>
  <w:style w:type="paragraph" w:customStyle="1" w:styleId="TableHeading">
    <w:name w:val="!Table Heading"/>
    <w:aliases w:val="th"/>
    <w:basedOn w:val="Tabletext"/>
    <w:rsid w:val="006B79F8"/>
    <w:pPr>
      <w:keepNext/>
      <w:spacing w:before="240"/>
      <w:jc w:val="center"/>
    </w:pPr>
    <w:rPr>
      <w:b/>
    </w:rPr>
  </w:style>
  <w:style w:type="paragraph" w:customStyle="1" w:styleId="TableEnd">
    <w:name w:val="!Table End"/>
    <w:aliases w:val="te"/>
    <w:basedOn w:val="Tabletext"/>
    <w:rsid w:val="006B79F8"/>
    <w:pPr>
      <w:spacing w:after="180"/>
    </w:pPr>
  </w:style>
  <w:style w:type="paragraph" w:styleId="Title">
    <w:name w:val="Title"/>
    <w:basedOn w:val="Normal"/>
    <w:link w:val="TitleChar"/>
    <w:qFormat/>
    <w:rsid w:val="006B79F8"/>
    <w:pPr>
      <w:spacing w:before="240" w:after="60"/>
      <w:jc w:val="center"/>
      <w:outlineLvl w:val="0"/>
    </w:pPr>
    <w:rPr>
      <w:rFonts w:cs="Arial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6B79F8"/>
    <w:rPr>
      <w:rFonts w:ascii="Garamond" w:hAnsi="Garamond" w:cs="Arial"/>
      <w:b/>
      <w:bCs/>
      <w:kern w:val="28"/>
      <w:sz w:val="26"/>
      <w:szCs w:val="32"/>
    </w:rPr>
  </w:style>
  <w:style w:type="paragraph" w:styleId="TOAHeading">
    <w:name w:val="toa heading"/>
    <w:basedOn w:val="Normal"/>
    <w:next w:val="Normal"/>
    <w:semiHidden/>
    <w:rsid w:val="006B79F8"/>
    <w:pPr>
      <w:tabs>
        <w:tab w:val="right" w:pos="9346"/>
      </w:tabs>
      <w:spacing w:before="240"/>
    </w:pPr>
    <w:rPr>
      <w:rFonts w:ascii="Times New Roman Bold" w:hAnsi="Times New Roman Bold" w:cs="Arial"/>
      <w:b/>
      <w:bCs/>
      <w:szCs w:val="24"/>
      <w:u w:val="words"/>
    </w:rPr>
  </w:style>
  <w:style w:type="paragraph" w:styleId="TableofAuthorities">
    <w:name w:val="table of authorities"/>
    <w:basedOn w:val="Normal"/>
    <w:next w:val="Normal"/>
    <w:semiHidden/>
    <w:rsid w:val="006B79F8"/>
    <w:pPr>
      <w:spacing w:before="120"/>
      <w:ind w:left="245" w:right="3600" w:hanging="245"/>
    </w:pPr>
  </w:style>
  <w:style w:type="paragraph" w:styleId="TOC1">
    <w:name w:val="toc 1"/>
    <w:basedOn w:val="Normal"/>
    <w:next w:val="Normal"/>
    <w:uiPriority w:val="39"/>
    <w:rsid w:val="006B79F8"/>
    <w:pPr>
      <w:tabs>
        <w:tab w:val="left" w:pos="720"/>
        <w:tab w:val="right" w:leader="dot" w:pos="9346"/>
      </w:tabs>
      <w:spacing w:before="240" w:after="0" w:line="240" w:lineRule="auto"/>
      <w:ind w:left="720" w:right="2880" w:hanging="720"/>
    </w:pPr>
    <w:rPr>
      <w:rFonts w:eastAsia="Times New Roman" w:cs="Times New Roman"/>
      <w:caps/>
      <w:szCs w:val="20"/>
    </w:rPr>
  </w:style>
  <w:style w:type="paragraph" w:styleId="TOC2">
    <w:name w:val="toc 2"/>
    <w:basedOn w:val="Normal"/>
    <w:next w:val="Normal"/>
    <w:semiHidden/>
    <w:rsid w:val="006B79F8"/>
    <w:pPr>
      <w:tabs>
        <w:tab w:val="right" w:leader="dot" w:pos="9346"/>
      </w:tabs>
      <w:spacing w:before="240"/>
      <w:ind w:left="720" w:right="3600"/>
    </w:pPr>
    <w:rPr>
      <w:caps/>
    </w:rPr>
  </w:style>
  <w:style w:type="paragraph" w:styleId="TOC3">
    <w:name w:val="toc 3"/>
    <w:basedOn w:val="Normal"/>
    <w:next w:val="Normal"/>
    <w:semiHidden/>
    <w:rsid w:val="006B79F8"/>
    <w:pPr>
      <w:tabs>
        <w:tab w:val="right" w:leader="dot" w:pos="9346"/>
      </w:tabs>
      <w:spacing w:before="180"/>
      <w:ind w:left="1440" w:right="3600" w:hanging="720"/>
    </w:pPr>
  </w:style>
  <w:style w:type="paragraph" w:customStyle="1" w:styleId="BlockIndentBullet">
    <w:name w:val="!Block Indent Bullet"/>
    <w:basedOn w:val="BlockIndent"/>
    <w:rsid w:val="006B79F8"/>
    <w:pPr>
      <w:numPr>
        <w:numId w:val="1"/>
      </w:numPr>
    </w:pPr>
  </w:style>
  <w:style w:type="paragraph" w:customStyle="1" w:styleId="Bodytextbullet">
    <w:name w:val="!Body text bullet"/>
    <w:basedOn w:val="BodyText0"/>
    <w:rsid w:val="006B79F8"/>
    <w:pPr>
      <w:numPr>
        <w:numId w:val="2"/>
      </w:numPr>
    </w:pPr>
  </w:style>
  <w:style w:type="paragraph" w:customStyle="1" w:styleId="bodytextnumbered">
    <w:name w:val="!body text numbered"/>
    <w:basedOn w:val="BodyText5"/>
    <w:rsid w:val="006B79F8"/>
    <w:pPr>
      <w:numPr>
        <w:numId w:val="3"/>
      </w:numPr>
    </w:pPr>
  </w:style>
  <w:style w:type="paragraph" w:customStyle="1" w:styleId="BriefHeading">
    <w:name w:val="!Brief Heading"/>
    <w:basedOn w:val="Normal"/>
    <w:rsid w:val="00473C4A"/>
    <w:pPr>
      <w:spacing w:before="360" w:after="240" w:line="240" w:lineRule="auto"/>
      <w:jc w:val="center"/>
    </w:pPr>
    <w:rPr>
      <w:rFonts w:ascii="Times New Roman Bold" w:eastAsia="Times New Roman" w:hAnsi="Times New Roman Bold" w:cs="Times New Roman"/>
      <w:b/>
      <w:caps/>
      <w:szCs w:val="20"/>
    </w:rPr>
  </w:style>
  <w:style w:type="paragraph" w:customStyle="1" w:styleId="Brieftitle">
    <w:name w:val="!Brief title"/>
    <w:basedOn w:val="Normal"/>
    <w:rsid w:val="00473C4A"/>
    <w:pPr>
      <w:spacing w:before="1440" w:after="960" w:line="240" w:lineRule="auto"/>
      <w:jc w:val="center"/>
    </w:pPr>
    <w:rPr>
      <w:rFonts w:ascii="Times New Roman Bold" w:eastAsia="Times New Roman" w:hAnsi="Times New Roman Bold" w:cs="Times New Roman"/>
      <w:b/>
      <w:caps/>
      <w:sz w:val="28"/>
      <w:szCs w:val="28"/>
    </w:rPr>
  </w:style>
  <w:style w:type="paragraph" w:customStyle="1" w:styleId="caption1">
    <w:name w:val="!caption1"/>
    <w:aliases w:val="c1"/>
    <w:basedOn w:val="Normal"/>
    <w:autoRedefine/>
    <w:rsid w:val="00473C4A"/>
    <w:pPr>
      <w:spacing w:before="120"/>
      <w:ind w:left="1267" w:right="619"/>
    </w:pPr>
  </w:style>
  <w:style w:type="paragraph" w:customStyle="1" w:styleId="CAPTION10">
    <w:name w:val="!CAPTION1"/>
    <w:aliases w:val="C1"/>
    <w:basedOn w:val="Normal"/>
    <w:rsid w:val="00473C4A"/>
    <w:pPr>
      <w:spacing w:before="120" w:after="0" w:line="240" w:lineRule="auto"/>
      <w:ind w:left="1267" w:right="619"/>
    </w:pPr>
    <w:rPr>
      <w:rFonts w:eastAsia="Times New Roman" w:cs="Times New Roman"/>
      <w:szCs w:val="20"/>
    </w:rPr>
  </w:style>
  <w:style w:type="paragraph" w:customStyle="1" w:styleId="captiondoc">
    <w:name w:val="!captiondoc"/>
    <w:aliases w:val="cd"/>
    <w:basedOn w:val="Normal"/>
    <w:rsid w:val="00473C4A"/>
    <w:pPr>
      <w:spacing w:before="240" w:after="0" w:line="240" w:lineRule="auto"/>
      <w:jc w:val="center"/>
    </w:pPr>
    <w:rPr>
      <w:rFonts w:eastAsia="Times New Roman" w:cs="Times New Roman"/>
      <w:b/>
      <w:caps/>
      <w:szCs w:val="20"/>
      <w:u w:val="single"/>
    </w:rPr>
  </w:style>
  <w:style w:type="paragraph" w:customStyle="1" w:styleId="captionver">
    <w:name w:val="!captionver"/>
    <w:aliases w:val="cv"/>
    <w:basedOn w:val="captiondoc"/>
    <w:rsid w:val="00473C4A"/>
  </w:style>
  <w:style w:type="paragraph" w:customStyle="1" w:styleId="court">
    <w:name w:val="!court"/>
    <w:aliases w:val="cct"/>
    <w:basedOn w:val="Normal"/>
    <w:rsid w:val="00473C4A"/>
    <w:pPr>
      <w:tabs>
        <w:tab w:val="right" w:leader="hyphen" w:pos="5652"/>
      </w:tabs>
      <w:spacing w:before="120" w:after="0" w:line="240" w:lineRule="auto"/>
    </w:pPr>
    <w:rPr>
      <w:rFonts w:eastAsia="Times New Roman" w:cs="Times New Roman"/>
      <w:caps/>
      <w:szCs w:val="20"/>
    </w:rPr>
  </w:style>
  <w:style w:type="character" w:customStyle="1" w:styleId="day">
    <w:name w:val="!day"/>
    <w:basedOn w:val="DefaultParagraphFont"/>
    <w:rsid w:val="00473C4A"/>
    <w:rPr>
      <w:color w:val="0000FF"/>
      <w:sz w:val="25"/>
    </w:rPr>
  </w:style>
  <w:style w:type="character" w:customStyle="1" w:styleId="DAY0">
    <w:name w:val="!DAY"/>
    <w:basedOn w:val="DefaultParagraphFont"/>
    <w:rsid w:val="00473C4A"/>
    <w:rPr>
      <w:color w:val="0000FF"/>
      <w:sz w:val="25"/>
    </w:rPr>
  </w:style>
  <w:style w:type="paragraph" w:customStyle="1" w:styleId="docket">
    <w:name w:val="!docket"/>
    <w:aliases w:val="d"/>
    <w:basedOn w:val="Normal"/>
    <w:rsid w:val="00473C4A"/>
    <w:pPr>
      <w:spacing w:before="240" w:after="0" w:line="240" w:lineRule="auto"/>
      <w:jc w:val="center"/>
    </w:pPr>
    <w:rPr>
      <w:rFonts w:eastAsia="Times New Roman" w:cs="Times New Roman"/>
      <w:szCs w:val="20"/>
    </w:rPr>
  </w:style>
  <w:style w:type="character" w:customStyle="1" w:styleId="month">
    <w:name w:val="!month"/>
    <w:basedOn w:val="DefaultParagraphFont"/>
    <w:rsid w:val="00473C4A"/>
    <w:rPr>
      <w:color w:val="0000FF"/>
      <w:sz w:val="25"/>
    </w:rPr>
  </w:style>
  <w:style w:type="character" w:customStyle="1" w:styleId="MONTH0">
    <w:name w:val="!MONTH"/>
    <w:basedOn w:val="DefaultParagraphFont"/>
    <w:rsid w:val="00473C4A"/>
    <w:rPr>
      <w:color w:val="0000FF"/>
      <w:sz w:val="25"/>
    </w:rPr>
  </w:style>
  <w:style w:type="paragraph" w:customStyle="1" w:styleId="newpageheading">
    <w:name w:val="!new page heading"/>
    <w:basedOn w:val="Normal"/>
    <w:next w:val="BodyText5"/>
    <w:rsid w:val="00473C4A"/>
    <w:pPr>
      <w:pageBreakBefore/>
      <w:spacing w:before="240" w:after="240" w:line="240" w:lineRule="auto"/>
      <w:jc w:val="center"/>
    </w:pPr>
    <w:rPr>
      <w:rFonts w:ascii="Times New Roman Bold" w:eastAsia="Times New Roman" w:hAnsi="Times New Roman Bold" w:cs="Times New Roman"/>
      <w:b/>
      <w:caps/>
      <w:szCs w:val="20"/>
      <w:u w:val="single"/>
    </w:rPr>
  </w:style>
  <w:style w:type="paragraph" w:customStyle="1" w:styleId="party1">
    <w:name w:val="!party1"/>
    <w:aliases w:val="p1"/>
    <w:basedOn w:val="CAPTION10"/>
    <w:rsid w:val="00473C4A"/>
    <w:pPr>
      <w:ind w:left="0"/>
    </w:pPr>
  </w:style>
  <w:style w:type="paragraph" w:customStyle="1" w:styleId="party1a">
    <w:name w:val="!party1a"/>
    <w:aliases w:val="p1a"/>
    <w:basedOn w:val="Normal"/>
    <w:rsid w:val="00473C4A"/>
    <w:pPr>
      <w:spacing w:before="120" w:after="120" w:line="240" w:lineRule="auto"/>
      <w:ind w:left="1980" w:right="612"/>
    </w:pPr>
    <w:rPr>
      <w:rFonts w:eastAsia="Times New Roman" w:cs="Times New Roman"/>
      <w:szCs w:val="20"/>
    </w:rPr>
  </w:style>
  <w:style w:type="paragraph" w:customStyle="1" w:styleId="party2">
    <w:name w:val="!party2"/>
    <w:aliases w:val="p2"/>
    <w:basedOn w:val="party1"/>
    <w:rsid w:val="00473C4A"/>
  </w:style>
  <w:style w:type="paragraph" w:customStyle="1" w:styleId="party2a">
    <w:name w:val="!party2a"/>
    <w:aliases w:val="p2a"/>
    <w:basedOn w:val="party1a"/>
    <w:rsid w:val="00473C4A"/>
  </w:style>
  <w:style w:type="character" w:customStyle="1" w:styleId="testator">
    <w:name w:val="!testator"/>
    <w:basedOn w:val="DefaultParagraphFont"/>
    <w:rsid w:val="00473C4A"/>
    <w:rPr>
      <w:caps/>
      <w:color w:val="0000FF"/>
      <w:sz w:val="25"/>
    </w:rPr>
  </w:style>
  <w:style w:type="character" w:customStyle="1" w:styleId="TESTATOR0">
    <w:name w:val="!TESTATOR"/>
    <w:basedOn w:val="DefaultParagraphFont"/>
    <w:rsid w:val="00473C4A"/>
    <w:rPr>
      <w:caps/>
      <w:color w:val="0000FF"/>
      <w:sz w:val="25"/>
    </w:rPr>
  </w:style>
  <w:style w:type="character" w:customStyle="1" w:styleId="testatrix">
    <w:name w:val="!testatrix"/>
    <w:basedOn w:val="DefaultParagraphFont"/>
    <w:rsid w:val="00473C4A"/>
    <w:rPr>
      <w:caps/>
      <w:color w:val="0000FF"/>
      <w:sz w:val="25"/>
    </w:rPr>
  </w:style>
  <w:style w:type="character" w:customStyle="1" w:styleId="TESTATRIX0">
    <w:name w:val="!TESTATRIX"/>
    <w:basedOn w:val="DefaultParagraphFont"/>
    <w:rsid w:val="00473C4A"/>
    <w:rPr>
      <w:caps/>
      <w:color w:val="0000FF"/>
      <w:sz w:val="25"/>
    </w:rPr>
  </w:style>
  <w:style w:type="paragraph" w:customStyle="1" w:styleId="Willnumbering">
    <w:name w:val="!Will numbering"/>
    <w:basedOn w:val="Normal"/>
    <w:rsid w:val="00473C4A"/>
    <w:pPr>
      <w:numPr>
        <w:numId w:val="4"/>
      </w:numPr>
      <w:spacing w:line="480" w:lineRule="auto"/>
      <w:jc w:val="both"/>
    </w:pPr>
  </w:style>
  <w:style w:type="paragraph" w:customStyle="1" w:styleId="Will2">
    <w:name w:val="!Will 2"/>
    <w:aliases w:val="w2"/>
    <w:basedOn w:val="Normal"/>
    <w:qFormat/>
    <w:rsid w:val="006B79F8"/>
    <w:pPr>
      <w:numPr>
        <w:ilvl w:val="1"/>
        <w:numId w:val="5"/>
      </w:numPr>
      <w:spacing w:after="0" w:line="480" w:lineRule="auto"/>
      <w:jc w:val="both"/>
    </w:pPr>
  </w:style>
  <w:style w:type="paragraph" w:customStyle="1" w:styleId="Will3">
    <w:name w:val="!Will 3"/>
    <w:aliases w:val="w3"/>
    <w:basedOn w:val="Will2"/>
    <w:qFormat/>
    <w:rsid w:val="006B79F8"/>
    <w:pPr>
      <w:numPr>
        <w:ilvl w:val="2"/>
      </w:numPr>
    </w:pPr>
  </w:style>
  <w:style w:type="paragraph" w:customStyle="1" w:styleId="Will4">
    <w:name w:val="!Will 4"/>
    <w:aliases w:val="w4"/>
    <w:basedOn w:val="Will3"/>
    <w:qFormat/>
    <w:rsid w:val="006B79F8"/>
    <w:pPr>
      <w:numPr>
        <w:ilvl w:val="3"/>
      </w:numPr>
    </w:pPr>
  </w:style>
  <w:style w:type="paragraph" w:styleId="BalloonText">
    <w:name w:val="Balloon Text"/>
    <w:basedOn w:val="Normal"/>
    <w:link w:val="BalloonTextChar"/>
    <w:rsid w:val="00473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3C4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473C4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3C4A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473C4A"/>
    <w:pPr>
      <w:spacing w:after="0" w:line="240" w:lineRule="auto"/>
      <w:ind w:left="5184"/>
    </w:pPr>
    <w:rPr>
      <w:rFonts w:eastAsia="Times New Roman" w:cs="Times New Roman"/>
      <w:szCs w:val="20"/>
    </w:rPr>
  </w:style>
  <w:style w:type="paragraph" w:styleId="EnvelopeReturn">
    <w:name w:val="envelope return"/>
    <w:basedOn w:val="Normal"/>
    <w:rsid w:val="00473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Footer0">
    <w:name w:val="footer"/>
    <w:basedOn w:val="Normal"/>
    <w:link w:val="FooterChar"/>
    <w:rsid w:val="00473C4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0"/>
    <w:rsid w:val="00473C4A"/>
    <w:rPr>
      <w:rFonts w:ascii="Times New Roman" w:eastAsia="Times New Roman" w:hAnsi="Times New Roman" w:cs="Times New Roman"/>
      <w:sz w:val="26"/>
      <w:szCs w:val="20"/>
    </w:rPr>
  </w:style>
  <w:style w:type="character" w:styleId="FootnoteReference">
    <w:name w:val="footnote reference"/>
    <w:basedOn w:val="DefaultParagraphFont"/>
    <w:semiHidden/>
    <w:rsid w:val="00473C4A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73C4A"/>
    <w:pPr>
      <w:ind w:firstLine="720"/>
      <w:jc w:val="both"/>
    </w:pPr>
  </w:style>
  <w:style w:type="character" w:customStyle="1" w:styleId="FootnoteTextChar">
    <w:name w:val="Footnote Text Char"/>
    <w:basedOn w:val="DefaultParagraphFont"/>
    <w:link w:val="FootnoteText"/>
    <w:semiHidden/>
    <w:rsid w:val="00473C4A"/>
    <w:rPr>
      <w:rFonts w:ascii="Garamond" w:hAnsi="Garamond"/>
      <w:sz w:val="26"/>
    </w:rPr>
  </w:style>
  <w:style w:type="paragraph" w:styleId="Header0">
    <w:name w:val="header"/>
    <w:basedOn w:val="Normal"/>
    <w:link w:val="HeaderChar"/>
    <w:rsid w:val="00473C4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0"/>
    <w:rsid w:val="00473C4A"/>
    <w:rPr>
      <w:rFonts w:ascii="Times New Roman" w:eastAsia="Times New Roman" w:hAnsi="Times New Roman" w:cs="Times New Roman"/>
      <w:sz w:val="26"/>
      <w:szCs w:val="20"/>
    </w:rPr>
  </w:style>
  <w:style w:type="character" w:styleId="Hyperlink">
    <w:name w:val="Hyperlink"/>
    <w:basedOn w:val="DefaultParagraphFont"/>
    <w:uiPriority w:val="99"/>
    <w:unhideWhenUsed/>
    <w:rsid w:val="00473C4A"/>
    <w:rPr>
      <w:color w:val="0563C1" w:themeColor="hyperlink"/>
      <w:u w:val="single"/>
    </w:rPr>
  </w:style>
  <w:style w:type="paragraph" w:styleId="TOC4">
    <w:name w:val="toc 4"/>
    <w:basedOn w:val="Normal"/>
    <w:next w:val="Normal"/>
    <w:semiHidden/>
    <w:rsid w:val="006B79F8"/>
    <w:pPr>
      <w:tabs>
        <w:tab w:val="left" w:pos="2160"/>
        <w:tab w:val="right" w:leader="dot" w:pos="9346"/>
      </w:tabs>
      <w:spacing w:before="120"/>
      <w:ind w:left="2160" w:right="3600" w:hanging="720"/>
    </w:pPr>
  </w:style>
  <w:style w:type="paragraph" w:styleId="TOC5">
    <w:name w:val="toc 5"/>
    <w:basedOn w:val="Normal"/>
    <w:next w:val="Normal"/>
    <w:autoRedefine/>
    <w:semiHidden/>
    <w:rsid w:val="006B79F8"/>
    <w:pPr>
      <w:spacing w:before="120"/>
      <w:ind w:left="965"/>
    </w:pPr>
  </w:style>
  <w:style w:type="paragraph" w:styleId="TOC6">
    <w:name w:val="toc 6"/>
    <w:basedOn w:val="Normal"/>
    <w:next w:val="Normal"/>
    <w:autoRedefine/>
    <w:semiHidden/>
    <w:rsid w:val="006B79F8"/>
    <w:pPr>
      <w:spacing w:before="120"/>
      <w:ind w:left="1195"/>
    </w:pPr>
  </w:style>
  <w:style w:type="paragraph" w:styleId="TOC7">
    <w:name w:val="toc 7"/>
    <w:basedOn w:val="Normal"/>
    <w:next w:val="Normal"/>
    <w:autoRedefine/>
    <w:semiHidden/>
    <w:rsid w:val="006B79F8"/>
    <w:pPr>
      <w:spacing w:before="120"/>
      <w:ind w:left="1440"/>
    </w:pPr>
  </w:style>
  <w:style w:type="paragraph" w:styleId="TOC8">
    <w:name w:val="toc 8"/>
    <w:basedOn w:val="Normal"/>
    <w:next w:val="Normal"/>
    <w:autoRedefine/>
    <w:semiHidden/>
    <w:rsid w:val="006B79F8"/>
    <w:pPr>
      <w:spacing w:before="120"/>
      <w:ind w:left="1685"/>
    </w:pPr>
  </w:style>
  <w:style w:type="paragraph" w:styleId="TOC9">
    <w:name w:val="toc 9"/>
    <w:basedOn w:val="Normal"/>
    <w:next w:val="Normal"/>
    <w:autoRedefine/>
    <w:semiHidden/>
    <w:rsid w:val="006B79F8"/>
    <w:pPr>
      <w:spacing w:before="120"/>
      <w:ind w:left="1915"/>
    </w:pPr>
  </w:style>
  <w:style w:type="paragraph" w:customStyle="1" w:styleId="Will1">
    <w:name w:val="!Will 1"/>
    <w:aliases w:val="w1"/>
    <w:basedOn w:val="BodyText0"/>
    <w:qFormat/>
    <w:rsid w:val="006B79F8"/>
    <w:pPr>
      <w:numPr>
        <w:numId w:val="5"/>
      </w:numPr>
      <w:tabs>
        <w:tab w:val="left" w:pos="2160"/>
      </w:tabs>
    </w:pPr>
  </w:style>
  <w:style w:type="paragraph" w:customStyle="1" w:styleId="Will5">
    <w:name w:val="!Will 5"/>
    <w:aliases w:val="w5"/>
    <w:basedOn w:val="Will4"/>
    <w:qFormat/>
    <w:rsid w:val="006B79F8"/>
    <w:pPr>
      <w:numPr>
        <w:ilvl w:val="4"/>
      </w:numPr>
    </w:pPr>
  </w:style>
  <w:style w:type="paragraph" w:customStyle="1" w:styleId="Interrogatory">
    <w:name w:val="!Interrogatory"/>
    <w:aliases w:val="in1"/>
    <w:basedOn w:val="Normal"/>
    <w:qFormat/>
    <w:rsid w:val="00473C4A"/>
    <w:pPr>
      <w:spacing w:after="0" w:line="480" w:lineRule="auto"/>
      <w:ind w:firstLine="720"/>
      <w:jc w:val="both"/>
    </w:pPr>
    <w:rPr>
      <w:rFonts w:eastAsia="Times New Roman" w:cs="Times New Roman"/>
      <w:szCs w:val="20"/>
    </w:rPr>
  </w:style>
  <w:style w:type="table" w:styleId="TableGrid">
    <w:name w:val="Table Grid"/>
    <w:basedOn w:val="TableNormal"/>
    <w:uiPriority w:val="59"/>
    <w:rsid w:val="006B7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1548</Words>
  <Characters>8829</Characters>
  <Application>Microsoft Office Word</Application>
  <DocSecurity>0</DocSecurity>
  <Lines>73</Lines>
  <Paragraphs>20</Paragraphs>
  <ScaleCrop>false</ScaleCrop>
  <Company/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Dean Schuler</cp:lastModifiedBy>
  <cp:revision>2</cp:revision>
  <dcterms:created xsi:type="dcterms:W3CDTF">2021-03-24T22:21:00Z</dcterms:created>
  <dcterms:modified xsi:type="dcterms:W3CDTF">2021-03-24T22:21:00Z</dcterms:modified>
</cp:coreProperties>
</file>